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D4C52" w14:textId="77777777" w:rsidR="00434AB7" w:rsidRDefault="00434AB7">
      <w:pPr>
        <w:pBdr>
          <w:bottom w:val="single" w:sz="8" w:space="1" w:color="000000"/>
        </w:pBdr>
        <w:spacing w:after="60" w:line="240" w:lineRule="auto"/>
      </w:pPr>
    </w:p>
    <w:tbl>
      <w:tblPr>
        <w:tblW w:w="5000" w:type="pct"/>
        <w:jc w:val="center"/>
        <w:tblBorders>
          <w:top w:val="nil"/>
          <w:left w:val="nil"/>
          <w:bottom w:val="nil"/>
          <w:right w:val="nil"/>
          <w:insideH w:val="nil"/>
          <w:insideV w:val="nil"/>
        </w:tblBorders>
        <w:tblLook w:val="04A0" w:firstRow="1" w:lastRow="0" w:firstColumn="1" w:lastColumn="0" w:noHBand="0" w:noVBand="1"/>
      </w:tblPr>
      <w:tblGrid>
        <w:gridCol w:w="1860"/>
        <w:gridCol w:w="6874"/>
        <w:gridCol w:w="1528"/>
      </w:tblGrid>
      <w:tr w:rsidR="00434AB7" w:rsidRPr="00C875EB" w14:paraId="76EC6B20" w14:textId="77777777">
        <w:trPr>
          <w:jc w:val="center"/>
        </w:trPr>
        <w:tc>
          <w:tcPr>
            <w:tcW w:w="1701" w:type="dxa"/>
            <w:tcMar>
              <w:top w:w="80" w:type="dxa"/>
              <w:left w:w="80" w:type="dxa"/>
              <w:bottom w:w="80" w:type="dxa"/>
              <w:right w:w="80" w:type="dxa"/>
            </w:tcMar>
          </w:tcPr>
          <w:p w14:paraId="6305B98F" w14:textId="77777777" w:rsidR="00434AB7" w:rsidRPr="00C875EB" w:rsidRDefault="00DC42C2">
            <w:pPr>
              <w:spacing w:after="40" w:line="240" w:lineRule="auto"/>
              <w:jc w:val="center"/>
              <w:rPr>
                <w:rFonts w:cs="Times New Roman"/>
              </w:rPr>
            </w:pPr>
            <w:r w:rsidRPr="00DC42C2">
              <w:rPr>
                <w:rFonts w:cs="Times New Roman"/>
                <w:noProof/>
                <w:sz w:val="16"/>
              </w:rPr>
              <w:drawing>
                <wp:inline distT="0" distB="0" distL="0" distR="0" wp14:anchorId="4C5AD6A5" wp14:editId="53E94CAF">
                  <wp:extent cx="1038225" cy="1144600"/>
                  <wp:effectExtent l="0" t="0" r="0" b="0"/>
                  <wp:docPr id="6" name="Picture 6" descr="C:\Users\ASUS\Downloads\Gemini_Generated_Image_hbgj2xhbgj2xhbg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ownloads\Gemini_Generated_Image_hbgj2xhbgj2xhbgj.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2278" cy="1149068"/>
                          </a:xfrm>
                          <a:prstGeom prst="rect">
                            <a:avLst/>
                          </a:prstGeom>
                          <a:noFill/>
                          <a:ln>
                            <a:noFill/>
                          </a:ln>
                        </pic:spPr>
                      </pic:pic>
                    </a:graphicData>
                  </a:graphic>
                </wp:inline>
              </w:drawing>
            </w:r>
          </w:p>
        </w:tc>
        <w:tc>
          <w:tcPr>
            <w:tcW w:w="6633" w:type="dxa"/>
            <w:shd w:val="clear" w:color="auto" w:fill="EDEDED"/>
            <w:tcMar>
              <w:top w:w="80" w:type="dxa"/>
              <w:left w:w="80" w:type="dxa"/>
              <w:bottom w:w="80" w:type="dxa"/>
              <w:right w:w="80" w:type="dxa"/>
            </w:tcMar>
          </w:tcPr>
          <w:p w14:paraId="6DAC7FA2" w14:textId="77777777" w:rsidR="00434AB7" w:rsidRDefault="008115AD" w:rsidP="008115AD">
            <w:pPr>
              <w:spacing w:after="40" w:line="240" w:lineRule="auto"/>
              <w:jc w:val="center"/>
              <w:rPr>
                <w:rFonts w:cs="Times New Roman"/>
                <w:color w:val="0070C0"/>
                <w:sz w:val="20"/>
                <w:szCs w:val="28"/>
              </w:rPr>
            </w:pPr>
            <w:r w:rsidRPr="00564FC1">
              <w:rPr>
                <w:rFonts w:cs="Times New Roman"/>
                <w:color w:val="0070C0"/>
                <w:sz w:val="20"/>
                <w:szCs w:val="28"/>
              </w:rPr>
              <w:t>E-ISSN 2599-2872; P-ISSN 2549-8150</w:t>
            </w:r>
          </w:p>
          <w:p w14:paraId="0DA95E25" w14:textId="77777777" w:rsidR="00564FC1" w:rsidRPr="00564FC1" w:rsidRDefault="00564FC1" w:rsidP="008115AD">
            <w:pPr>
              <w:spacing w:after="40" w:line="240" w:lineRule="auto"/>
              <w:jc w:val="center"/>
              <w:rPr>
                <w:rFonts w:cs="Times New Roman"/>
                <w:color w:val="0070C0"/>
                <w:sz w:val="16"/>
              </w:rPr>
            </w:pPr>
          </w:p>
          <w:p w14:paraId="358D6152" w14:textId="77777777" w:rsidR="00564FC1" w:rsidRPr="00564FC1" w:rsidRDefault="00564FC1" w:rsidP="008115AD">
            <w:pPr>
              <w:spacing w:after="40" w:line="240" w:lineRule="auto"/>
              <w:jc w:val="center"/>
              <w:rPr>
                <w:rFonts w:cs="Times New Roman"/>
                <w:color w:val="0070C0"/>
                <w:sz w:val="14"/>
                <w:szCs w:val="20"/>
              </w:rPr>
            </w:pPr>
          </w:p>
          <w:p w14:paraId="0BDB6341" w14:textId="77777777" w:rsidR="00434AB7" w:rsidRPr="00564FC1" w:rsidRDefault="00D96EE1">
            <w:pPr>
              <w:spacing w:after="40" w:line="240" w:lineRule="auto"/>
              <w:jc w:val="center"/>
              <w:rPr>
                <w:rFonts w:cs="Times New Roman"/>
                <w:b/>
                <w:sz w:val="36"/>
                <w:szCs w:val="52"/>
              </w:rPr>
            </w:pPr>
            <w:r w:rsidRPr="00564FC1">
              <w:rPr>
                <w:rFonts w:cs="Times New Roman"/>
                <w:b/>
                <w:sz w:val="36"/>
                <w:szCs w:val="52"/>
              </w:rPr>
              <w:t xml:space="preserve">J-PEN Borneo: </w:t>
            </w:r>
            <w:proofErr w:type="spellStart"/>
            <w:r w:rsidR="008115AD" w:rsidRPr="00564FC1">
              <w:rPr>
                <w:rFonts w:cs="Times New Roman"/>
                <w:b/>
                <w:sz w:val="36"/>
                <w:szCs w:val="52"/>
              </w:rPr>
              <w:t>Jurnal</w:t>
            </w:r>
            <w:proofErr w:type="spellEnd"/>
            <w:r w:rsidR="008115AD" w:rsidRPr="00564FC1">
              <w:rPr>
                <w:rFonts w:cs="Times New Roman"/>
                <w:b/>
                <w:sz w:val="36"/>
                <w:szCs w:val="52"/>
              </w:rPr>
              <w:t xml:space="preserve"> </w:t>
            </w:r>
            <w:proofErr w:type="spellStart"/>
            <w:r w:rsidR="008115AD" w:rsidRPr="00564FC1">
              <w:rPr>
                <w:rFonts w:cs="Times New Roman"/>
                <w:b/>
                <w:sz w:val="36"/>
                <w:szCs w:val="52"/>
              </w:rPr>
              <w:t>Ilmu</w:t>
            </w:r>
            <w:proofErr w:type="spellEnd"/>
            <w:r w:rsidR="008115AD" w:rsidRPr="00564FC1">
              <w:rPr>
                <w:rFonts w:cs="Times New Roman"/>
                <w:b/>
                <w:sz w:val="36"/>
                <w:szCs w:val="52"/>
              </w:rPr>
              <w:t xml:space="preserve"> </w:t>
            </w:r>
            <w:proofErr w:type="spellStart"/>
            <w:r w:rsidR="008115AD" w:rsidRPr="00564FC1">
              <w:rPr>
                <w:rFonts w:cs="Times New Roman"/>
                <w:b/>
                <w:sz w:val="36"/>
                <w:szCs w:val="52"/>
              </w:rPr>
              <w:t>Pertanian</w:t>
            </w:r>
            <w:proofErr w:type="spellEnd"/>
          </w:p>
          <w:p w14:paraId="7A7B6DA1" w14:textId="77777777" w:rsidR="00564FC1" w:rsidRPr="00564FC1" w:rsidRDefault="00564FC1">
            <w:pPr>
              <w:spacing w:after="40" w:line="240" w:lineRule="auto"/>
              <w:jc w:val="center"/>
              <w:rPr>
                <w:rFonts w:cs="Times New Roman"/>
                <w:sz w:val="24"/>
                <w:szCs w:val="40"/>
              </w:rPr>
            </w:pPr>
          </w:p>
          <w:p w14:paraId="6C29C274" w14:textId="77777777" w:rsidR="00434AB7" w:rsidRPr="00C875EB" w:rsidRDefault="00D96EE1">
            <w:pPr>
              <w:spacing w:after="40" w:line="240" w:lineRule="auto"/>
              <w:jc w:val="center"/>
              <w:rPr>
                <w:rFonts w:cs="Times New Roman"/>
              </w:rPr>
            </w:pPr>
            <w:r w:rsidRPr="00564FC1">
              <w:rPr>
                <w:rFonts w:cs="Times New Roman"/>
                <w:color w:val="0075AC"/>
                <w:sz w:val="20"/>
                <w:szCs w:val="28"/>
              </w:rPr>
              <w:t xml:space="preserve">journal homepage: </w:t>
            </w:r>
            <w:r w:rsidR="008115AD" w:rsidRPr="00564FC1">
              <w:rPr>
                <w:rFonts w:cs="Times New Roman"/>
                <w:color w:val="0075AC"/>
                <w:sz w:val="20"/>
                <w:szCs w:val="28"/>
              </w:rPr>
              <w:t>https://jurnal.ubt.ac.id/index.php/jpen</w:t>
            </w:r>
          </w:p>
        </w:tc>
        <w:tc>
          <w:tcPr>
            <w:tcW w:w="1474" w:type="dxa"/>
            <w:tcMar>
              <w:top w:w="80" w:type="dxa"/>
              <w:left w:w="80" w:type="dxa"/>
              <w:bottom w:w="80" w:type="dxa"/>
              <w:right w:w="80" w:type="dxa"/>
            </w:tcMar>
          </w:tcPr>
          <w:p w14:paraId="1915DDD8" w14:textId="77777777" w:rsidR="00434AB7" w:rsidRPr="00C875EB" w:rsidRDefault="008115AD" w:rsidP="008115AD">
            <w:pPr>
              <w:spacing w:after="40" w:line="240" w:lineRule="auto"/>
              <w:jc w:val="center"/>
              <w:rPr>
                <w:rFonts w:cs="Times New Roman"/>
              </w:rPr>
            </w:pPr>
            <w:r w:rsidRPr="00C875EB">
              <w:rPr>
                <w:rFonts w:cs="Times New Roman"/>
                <w:noProof/>
                <w:sz w:val="16"/>
              </w:rPr>
              <w:drawing>
                <wp:inline distT="0" distB="0" distL="0" distR="0" wp14:anchorId="7FF0E478" wp14:editId="5779B9D7">
                  <wp:extent cx="828675" cy="1172174"/>
                  <wp:effectExtent l="0" t="0" r="0" b="9525"/>
                  <wp:docPr id="1" name="Picture 1" descr="Journal Homepa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urnal Homepage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2337" cy="1177355"/>
                          </a:xfrm>
                          <a:prstGeom prst="rect">
                            <a:avLst/>
                          </a:prstGeom>
                          <a:noFill/>
                          <a:ln>
                            <a:noFill/>
                          </a:ln>
                        </pic:spPr>
                      </pic:pic>
                    </a:graphicData>
                  </a:graphic>
                </wp:inline>
              </w:drawing>
            </w:r>
          </w:p>
        </w:tc>
      </w:tr>
    </w:tbl>
    <w:p w14:paraId="66D6ABA6" w14:textId="77777777" w:rsidR="00434AB7" w:rsidRPr="00564FC1" w:rsidRDefault="00434AB7" w:rsidP="00D033A3">
      <w:pPr>
        <w:pBdr>
          <w:bottom w:val="single" w:sz="18" w:space="0" w:color="000000"/>
        </w:pBdr>
        <w:spacing w:after="60" w:line="240" w:lineRule="auto"/>
        <w:rPr>
          <w:rFonts w:cs="Times New Roman"/>
          <w:sz w:val="4"/>
          <w:szCs w:val="10"/>
        </w:rPr>
      </w:pPr>
    </w:p>
    <w:p w14:paraId="5483F76A" w14:textId="173A26F5" w:rsidR="00D033A3" w:rsidRPr="00C875EB" w:rsidRDefault="0045282A" w:rsidP="00BE16A8">
      <w:pPr>
        <w:spacing w:after="40" w:line="240" w:lineRule="auto"/>
        <w:rPr>
          <w:rFonts w:cs="Times New Roman"/>
        </w:rPr>
      </w:pPr>
      <w:r>
        <w:rPr>
          <w:rFonts w:eastAsia="Times New Roman"/>
        </w:rPr>
        <w:t xml:space="preserve">Research Paper 8(2) (2025) </w:t>
      </w:r>
      <w:r w:rsidR="00BE16A8">
        <w:rPr>
          <w:rFonts w:eastAsia="Times New Roman"/>
        </w:rPr>
        <w:t>15</w:t>
      </w:r>
      <w:r>
        <w:rPr>
          <w:rFonts w:eastAsia="Times New Roman"/>
        </w:rPr>
        <w:t>-</w:t>
      </w:r>
      <w:r w:rsidR="00BE16A8">
        <w:rPr>
          <w:rFonts w:eastAsia="Times New Roman"/>
        </w:rPr>
        <w:t>19</w:t>
      </w:r>
    </w:p>
    <w:p w14:paraId="65B77DDD" w14:textId="77777777" w:rsidR="00434AB7" w:rsidRDefault="00D96EE1" w:rsidP="00D033A3">
      <w:pPr>
        <w:pStyle w:val="JPENTitle"/>
        <w:spacing w:after="100" w:line="240" w:lineRule="auto"/>
        <w:rPr>
          <w:rFonts w:ascii="Times New Roman" w:hAnsi="Times New Roman" w:cs="Times New Roman"/>
          <w:sz w:val="28"/>
        </w:rPr>
      </w:pPr>
      <w:r>
        <w:rPr>
          <w:rFonts w:ascii="Times New Roman" w:eastAsia="Times New Roman" w:hAnsi="Times New Roman"/>
          <w:sz w:val="30"/>
        </w:rPr>
        <w:t>Effectiveness of aloe vera gel as a natural plant growth regulator in white jasmine cuttings</w:t>
      </w:r>
    </w:p>
    <w:p w14:paraId="4B6477C1" w14:textId="77777777" w:rsidR="00434AB7" w:rsidRPr="00BF65A2" w:rsidRDefault="00D96EE1">
      <w:pPr>
        <w:pStyle w:val="JPENAuthors"/>
        <w:spacing w:after="40" w:line="240" w:lineRule="auto"/>
        <w:rPr>
          <w:rFonts w:ascii="Times New Roman" w:hAnsi="Times New Roman" w:cs="Times New Roman"/>
          <w:sz w:val="22"/>
        </w:rPr>
      </w:pPr>
      <w:r>
        <w:rPr>
          <w:rFonts w:ascii="Times New Roman" w:eastAsia="Times New Roman" w:hAnsi="Times New Roman"/>
          <w:sz w:val="20"/>
        </w:rPr>
        <w:t>Amelia Rahmadani</w:t>
      </w:r>
      <w:r w:rsidRPr="00A845E3">
        <w:rPr>
          <w:rFonts w:ascii="Times New Roman" w:eastAsia="Times New Roman" w:hAnsi="Times New Roman"/>
          <w:sz w:val="20"/>
          <w:vertAlign w:val="superscript"/>
        </w:rPr>
        <w:t>1</w:t>
      </w:r>
      <w:r>
        <w:rPr>
          <w:rFonts w:ascii="Times New Roman" w:eastAsia="Times New Roman" w:hAnsi="Times New Roman"/>
          <w:sz w:val="20"/>
        </w:rPr>
        <w:t>, Nurul Chairiyah</w:t>
      </w:r>
      <w:r w:rsidRPr="00253981">
        <w:rPr>
          <w:rFonts w:ascii="Times New Roman" w:eastAsia="Times New Roman" w:hAnsi="Times New Roman"/>
          <w:sz w:val="20"/>
          <w:vertAlign w:val="superscript"/>
        </w:rPr>
        <w:t>1*</w:t>
      </w:r>
      <w:r>
        <w:rPr>
          <w:rFonts w:ascii="Times New Roman" w:eastAsia="Times New Roman" w:hAnsi="Times New Roman"/>
          <w:sz w:val="20"/>
        </w:rPr>
        <w:t>, Siti Zahara</w:t>
      </w:r>
      <w:r w:rsidRPr="00253981">
        <w:rPr>
          <w:rFonts w:ascii="Times New Roman" w:eastAsia="Times New Roman" w:hAnsi="Times New Roman"/>
          <w:sz w:val="20"/>
          <w:vertAlign w:val="superscript"/>
        </w:rPr>
        <w:t>1</w:t>
      </w:r>
      <w:r>
        <w:rPr>
          <w:rFonts w:ascii="Times New Roman" w:eastAsia="Times New Roman" w:hAnsi="Times New Roman"/>
          <w:sz w:val="20"/>
        </w:rPr>
        <w:t>, Abdul Rahim</w:t>
      </w:r>
      <w:r w:rsidRPr="00253981">
        <w:rPr>
          <w:rFonts w:ascii="Times New Roman" w:eastAsia="Times New Roman" w:hAnsi="Times New Roman"/>
          <w:sz w:val="20"/>
          <w:vertAlign w:val="superscript"/>
        </w:rPr>
        <w:t>1</w:t>
      </w:r>
      <w:r>
        <w:rPr>
          <w:rFonts w:ascii="Times New Roman" w:eastAsia="Times New Roman" w:hAnsi="Times New Roman"/>
          <w:sz w:val="20"/>
        </w:rPr>
        <w:t>, Amarullah</w:t>
      </w:r>
      <w:r w:rsidRPr="00253981">
        <w:rPr>
          <w:rFonts w:ascii="Times New Roman" w:eastAsia="Times New Roman" w:hAnsi="Times New Roman"/>
          <w:sz w:val="20"/>
          <w:vertAlign w:val="superscript"/>
        </w:rPr>
        <w:t>1</w:t>
      </w:r>
    </w:p>
    <w:p w14:paraId="6852F33D" w14:textId="77777777" w:rsidR="00434AB7" w:rsidRPr="00BF65A2" w:rsidRDefault="00D96EE1" w:rsidP="00D033A3">
      <w:pPr>
        <w:pStyle w:val="JPENAffiliation"/>
        <w:tabs>
          <w:tab w:val="left" w:pos="6450"/>
        </w:tabs>
        <w:spacing w:line="240" w:lineRule="auto"/>
        <w:rPr>
          <w:rFonts w:ascii="Times New Roman" w:hAnsi="Times New Roman" w:cs="Times New Roman"/>
          <w:sz w:val="18"/>
          <w:szCs w:val="18"/>
        </w:rPr>
      </w:pPr>
      <w:r w:rsidRPr="00253981">
        <w:rPr>
          <w:rFonts w:ascii="Times New Roman" w:eastAsia="Times New Roman" w:hAnsi="Times New Roman"/>
          <w:vertAlign w:val="superscript"/>
        </w:rPr>
        <w:t>1</w:t>
      </w:r>
      <w:r>
        <w:rPr>
          <w:rFonts w:ascii="Times New Roman" w:eastAsia="Times New Roman" w:hAnsi="Times New Roman"/>
        </w:rPr>
        <w:t xml:space="preserve"> Department of Agrotechnology, Faculty of Agriculture, Universitas Borneo Tarakan, Jl. Amal Lama No. 01, Tarakan 77115, North Kalimantan, Indonesia</w:t>
      </w:r>
    </w:p>
    <w:p w14:paraId="514A59FA" w14:textId="77777777" w:rsidR="00434AB7" w:rsidRPr="00BF65A2" w:rsidRDefault="00D96EE1">
      <w:pPr>
        <w:pStyle w:val="JPENAffiliation"/>
        <w:spacing w:line="240" w:lineRule="auto"/>
        <w:rPr>
          <w:rFonts w:ascii="Times New Roman" w:hAnsi="Times New Roman" w:cs="Times New Roman"/>
          <w:sz w:val="18"/>
          <w:szCs w:val="18"/>
        </w:rPr>
      </w:pPr>
      <w:r>
        <w:rPr>
          <w:rFonts w:ascii="Times New Roman" w:eastAsia="Times New Roman" w:hAnsi="Times New Roman"/>
          <w:i w:val="0"/>
        </w:rPr>
        <w:t>* Corresponding author. E-mail address: nchairiyah@borneo.ac.id</w:t>
      </w:r>
    </w:p>
    <w:p w14:paraId="547804F5" w14:textId="77777777" w:rsidR="00E50743" w:rsidRDefault="00E50743">
      <w:pPr>
        <w:pStyle w:val="JPENSmall"/>
        <w:spacing w:line="240" w:lineRule="auto"/>
        <w:rPr>
          <w:rFonts w:ascii="Times New Roman" w:eastAsia="Times New Roman" w:hAnsi="Times New Roman"/>
          <w:sz w:val="17"/>
        </w:rPr>
      </w:pPr>
    </w:p>
    <w:p w14:paraId="2C6ABE76" w14:textId="05C0988A" w:rsidR="00434AB7" w:rsidRPr="00BF65A2" w:rsidRDefault="00D96EE1">
      <w:pPr>
        <w:pStyle w:val="JPENSmall"/>
        <w:spacing w:line="240" w:lineRule="auto"/>
        <w:rPr>
          <w:rFonts w:ascii="Times New Roman" w:hAnsi="Times New Roman" w:cs="Times New Roman"/>
          <w:sz w:val="18"/>
          <w:szCs w:val="18"/>
        </w:rPr>
      </w:pPr>
      <w:r>
        <w:rPr>
          <w:rFonts w:ascii="Times New Roman" w:eastAsia="Times New Roman" w:hAnsi="Times New Roman"/>
          <w:sz w:val="17"/>
        </w:rPr>
        <w:t xml:space="preserve">Submitted/Received: </w:t>
      </w:r>
      <w:r w:rsidR="00E50743">
        <w:rPr>
          <w:rFonts w:ascii="Times New Roman" w:eastAsia="Times New Roman" w:hAnsi="Times New Roman"/>
          <w:sz w:val="17"/>
        </w:rPr>
        <w:t>2</w:t>
      </w:r>
      <w:r w:rsidR="00C226BE">
        <w:rPr>
          <w:rFonts w:ascii="Times New Roman" w:eastAsia="Times New Roman" w:hAnsi="Times New Roman"/>
          <w:sz w:val="17"/>
        </w:rPr>
        <w:t>3</w:t>
      </w:r>
      <w:r w:rsidR="00E50743">
        <w:rPr>
          <w:rFonts w:ascii="Times New Roman" w:eastAsia="Times New Roman" w:hAnsi="Times New Roman"/>
          <w:sz w:val="17"/>
        </w:rPr>
        <w:t xml:space="preserve"> April 2025</w:t>
      </w:r>
      <w:r>
        <w:rPr>
          <w:rFonts w:ascii="Times New Roman" w:eastAsia="Times New Roman" w:hAnsi="Times New Roman"/>
          <w:sz w:val="17"/>
        </w:rPr>
        <w:t>; Accepted: -;</w:t>
      </w:r>
      <w:r w:rsidR="00E50743">
        <w:rPr>
          <w:rFonts w:ascii="Times New Roman" w:eastAsia="Times New Roman" w:hAnsi="Times New Roman"/>
          <w:sz w:val="17"/>
        </w:rPr>
        <w:t>13 July 2025</w:t>
      </w:r>
    </w:p>
    <w:p w14:paraId="6D004D5F" w14:textId="77777777" w:rsidR="00434AB7" w:rsidRPr="00C875EB" w:rsidRDefault="00434AB7" w:rsidP="00E50743">
      <w:pPr>
        <w:spacing w:line="240" w:lineRule="auto"/>
        <w:rPr>
          <w:rFonts w:cs="Times New Roman"/>
        </w:rPr>
      </w:pPr>
    </w:p>
    <w:tbl>
      <w:tblPr>
        <w:tblW w:w="5000" w:type="pct"/>
        <w:jc w:val="center"/>
        <w:tblBorders>
          <w:top w:val="nil"/>
          <w:left w:val="nil"/>
          <w:bottom w:val="nil"/>
          <w:right w:val="nil"/>
          <w:insideH w:val="nil"/>
          <w:insideV w:val="nil"/>
        </w:tblBorders>
        <w:tblLayout w:type="fixed"/>
        <w:tblLook w:val="04A0" w:firstRow="1" w:lastRow="0" w:firstColumn="1" w:lastColumn="0" w:noHBand="0" w:noVBand="1"/>
      </w:tblPr>
      <w:tblGrid>
        <w:gridCol w:w="2421"/>
        <w:gridCol w:w="7841"/>
      </w:tblGrid>
      <w:tr w:rsidR="00434AB7" w:rsidRPr="00C875EB" w14:paraId="0D4675FE" w14:textId="77777777" w:rsidTr="00364DC9">
        <w:trPr>
          <w:jc w:val="center"/>
        </w:trPr>
        <w:tc>
          <w:tcPr>
            <w:tcW w:w="2381" w:type="dxa"/>
            <w:tcBorders>
              <w:top w:val="single" w:sz="8" w:space="0" w:color="000000"/>
              <w:left w:val="nil"/>
              <w:bottom w:val="single" w:sz="8" w:space="0" w:color="000000"/>
              <w:right w:val="nil"/>
            </w:tcBorders>
            <w:tcMar>
              <w:top w:w="75" w:type="dxa"/>
              <w:left w:w="90" w:type="dxa"/>
              <w:bottom w:w="75" w:type="dxa"/>
              <w:right w:w="90" w:type="dxa"/>
            </w:tcMar>
          </w:tcPr>
          <w:p w14:paraId="3FA53304" w14:textId="77777777" w:rsidR="00EE1030" w:rsidRPr="00E50743" w:rsidRDefault="00000000">
            <w:pPr>
              <w:spacing w:after="80" w:line="240" w:lineRule="auto"/>
              <w:rPr>
                <w:lang w:val="it-IT"/>
              </w:rPr>
            </w:pPr>
            <w:r w:rsidRPr="00E50743">
              <w:rPr>
                <w:rFonts w:eastAsia="Times New Roman"/>
                <w:b/>
                <w:lang w:val="it-IT"/>
              </w:rPr>
              <w:t>A R T I C L E  I N F O</w:t>
            </w:r>
          </w:p>
          <w:p w14:paraId="3FA303E2" w14:textId="77777777" w:rsidR="00EE1030" w:rsidRDefault="00000000">
            <w:pPr>
              <w:spacing w:after="40" w:line="240" w:lineRule="auto"/>
            </w:pPr>
            <w:r>
              <w:rPr>
                <w:rFonts w:eastAsia="Times New Roman"/>
                <w:b/>
                <w:sz w:val="16"/>
              </w:rPr>
              <w:t>Keywords:</w:t>
            </w:r>
          </w:p>
          <w:p w14:paraId="6BD8D05D" w14:textId="77777777" w:rsidR="00EE1030" w:rsidRDefault="00000000">
            <w:pPr>
              <w:spacing w:after="20" w:line="240" w:lineRule="auto"/>
            </w:pPr>
            <w:r>
              <w:rPr>
                <w:rFonts w:eastAsia="Times New Roman"/>
                <w:i/>
                <w:sz w:val="16"/>
              </w:rPr>
              <w:t>Aloe vera</w:t>
            </w:r>
          </w:p>
          <w:p w14:paraId="77BE62C3" w14:textId="77777777" w:rsidR="00EE1030" w:rsidRDefault="00000000">
            <w:pPr>
              <w:spacing w:after="20" w:line="240" w:lineRule="auto"/>
            </w:pPr>
            <w:r>
              <w:rPr>
                <w:rFonts w:eastAsia="Times New Roman"/>
                <w:sz w:val="16"/>
              </w:rPr>
              <w:t>growth regulator</w:t>
            </w:r>
          </w:p>
          <w:p w14:paraId="5DDFD118" w14:textId="77777777" w:rsidR="00EE1030" w:rsidRDefault="00000000">
            <w:pPr>
              <w:spacing w:after="20" w:line="240" w:lineRule="auto"/>
            </w:pPr>
            <w:r>
              <w:rPr>
                <w:rFonts w:eastAsia="Times New Roman"/>
                <w:sz w:val="16"/>
              </w:rPr>
              <w:t>rooting</w:t>
            </w:r>
          </w:p>
          <w:p w14:paraId="6E65621A" w14:textId="77777777" w:rsidR="00EE1030" w:rsidRDefault="00000000">
            <w:pPr>
              <w:spacing w:after="20" w:line="240" w:lineRule="auto"/>
            </w:pPr>
            <w:r>
              <w:rPr>
                <w:rFonts w:eastAsia="Times New Roman"/>
                <w:sz w:val="16"/>
              </w:rPr>
              <w:t>vegetative propagation</w:t>
            </w:r>
          </w:p>
          <w:p w14:paraId="42717E39" w14:textId="77777777" w:rsidR="00EE1030" w:rsidRDefault="00000000">
            <w:pPr>
              <w:spacing w:after="20" w:line="240" w:lineRule="auto"/>
            </w:pPr>
            <w:r>
              <w:rPr>
                <w:rFonts w:eastAsia="Times New Roman"/>
                <w:sz w:val="16"/>
              </w:rPr>
              <w:t>white jasmine</w:t>
            </w:r>
          </w:p>
        </w:tc>
        <w:tc>
          <w:tcPr>
            <w:tcW w:w="7711" w:type="dxa"/>
            <w:tcBorders>
              <w:top w:val="single" w:sz="8" w:space="0" w:color="000000"/>
              <w:left w:val="nil"/>
              <w:bottom w:val="single" w:sz="8" w:space="0" w:color="000000"/>
              <w:right w:val="nil"/>
            </w:tcBorders>
            <w:tcMar>
              <w:top w:w="75" w:type="dxa"/>
              <w:left w:w="90" w:type="dxa"/>
              <w:bottom w:w="75" w:type="dxa"/>
              <w:right w:w="90" w:type="dxa"/>
            </w:tcMar>
          </w:tcPr>
          <w:p w14:paraId="17043770" w14:textId="77777777" w:rsidR="00EE1030" w:rsidRDefault="00000000">
            <w:pPr>
              <w:spacing w:after="60" w:line="240" w:lineRule="auto"/>
            </w:pPr>
            <w:r>
              <w:rPr>
                <w:rFonts w:eastAsia="Times New Roman"/>
                <w:b/>
              </w:rPr>
              <w:t>A B S T R A C T</w:t>
            </w:r>
          </w:p>
          <w:p w14:paraId="17CF784A" w14:textId="77777777" w:rsidR="00EE1030" w:rsidRDefault="00000000">
            <w:pPr>
              <w:spacing w:line="240" w:lineRule="auto"/>
              <w:jc w:val="both"/>
            </w:pPr>
            <w:r>
              <w:rPr>
                <w:rFonts w:eastAsia="Times New Roman"/>
                <w:sz w:val="16"/>
              </w:rPr>
              <w:t>Propagation of white jasmine (</w:t>
            </w:r>
            <w:r>
              <w:rPr>
                <w:rFonts w:eastAsia="Times New Roman"/>
                <w:i/>
                <w:sz w:val="16"/>
              </w:rPr>
              <w:t xml:space="preserve">Jasminum </w:t>
            </w:r>
            <w:proofErr w:type="spellStart"/>
            <w:r>
              <w:rPr>
                <w:rFonts w:eastAsia="Times New Roman"/>
                <w:i/>
                <w:sz w:val="16"/>
              </w:rPr>
              <w:t>sambac</w:t>
            </w:r>
            <w:proofErr w:type="spellEnd"/>
            <w:r>
              <w:rPr>
                <w:rFonts w:eastAsia="Times New Roman"/>
                <w:i/>
                <w:sz w:val="16"/>
              </w:rPr>
              <w:t xml:space="preserve"> L.</w:t>
            </w:r>
            <w:r>
              <w:rPr>
                <w:rFonts w:eastAsia="Times New Roman"/>
                <w:sz w:val="16"/>
              </w:rPr>
              <w:t>) through stem cuttings is often constrained by low rooting success and limited shoot development during the early stages of growth. The use of natural plant growth regulators (PGRs) derived from aloe vera (</w:t>
            </w:r>
            <w:r>
              <w:rPr>
                <w:rFonts w:eastAsia="Times New Roman"/>
                <w:i/>
                <w:sz w:val="16"/>
              </w:rPr>
              <w:t>Aloe vera L.</w:t>
            </w:r>
            <w:r>
              <w:rPr>
                <w:rFonts w:eastAsia="Times New Roman"/>
                <w:sz w:val="16"/>
              </w:rPr>
              <w:t>) has emerged as an environmentally friendly alternative to improve the success of vegetative propagation. This study aimed to evaluate the effects of different doses of aloe vera gel on the growth of white jasmine cuttings and to determine the optimum dose for promoting vegetative development. The experiment was arranged in a Randomized Complete Block Design with a single factor consisting of four aloe vera gel doses (100, 200, 300, and 400 g), each replicated four times. Observed variables included plant height, number of leaves, number of roots, and root length. Data were analyzed using analysis of variance (ANOVA), followed by Duncan's Multiple Range Test (DMRT) at the 5% significance level. The results revealed that aloe vera gel significantly affected all growth parameters. The application of 300 g aloe vera gel produced the best growth performance, resulting in a plant height of 15.10 cm, 9.75 roots, a root length of 4.00 cm, and 9.50 leaves at 8 weeks after planting. These findings suggest that aloe vera gel can serve as an effective natural source of phytohormones to enhance rooting and vegetative growth of white jasmine cuttings.</w:t>
            </w:r>
          </w:p>
        </w:tc>
      </w:tr>
    </w:tbl>
    <w:p w14:paraId="63295335" w14:textId="77777777" w:rsidR="00FF38DF" w:rsidRDefault="00FF38DF">
      <w:pPr>
        <w:sectPr w:rsidR="00FF38DF" w:rsidSect="00BE16A8">
          <w:footerReference w:type="default" r:id="rId10"/>
          <w:type w:val="continuous"/>
          <w:pgSz w:w="11906" w:h="16838"/>
          <w:pgMar w:top="879" w:right="822" w:bottom="879" w:left="822" w:header="397" w:footer="397" w:gutter="0"/>
          <w:pgNumType w:start="15"/>
          <w:cols w:space="425"/>
        </w:sectPr>
      </w:pPr>
    </w:p>
    <w:p w14:paraId="436A1276" w14:textId="77777777" w:rsidR="00EE1030" w:rsidRDefault="00EE1030">
      <w:pPr>
        <w:sectPr w:rsidR="00EE1030">
          <w:type w:val="continuous"/>
          <w:pgSz w:w="11906" w:h="16838"/>
          <w:pgMar w:top="879" w:right="822" w:bottom="879" w:left="822" w:header="397" w:footer="397" w:gutter="0"/>
          <w:cols w:space="425"/>
          <w:docGrid w:linePitch="360"/>
        </w:sectPr>
      </w:pPr>
    </w:p>
    <w:p w14:paraId="57531C85" w14:textId="77777777" w:rsidR="00EE1030" w:rsidRDefault="00000000">
      <w:pPr>
        <w:keepNext/>
        <w:spacing w:before="140" w:after="60" w:line="240" w:lineRule="auto"/>
      </w:pPr>
      <w:r>
        <w:rPr>
          <w:rFonts w:eastAsia="Times New Roman"/>
          <w:b/>
          <w:sz w:val="20"/>
        </w:rPr>
        <w:t>INTRODUCTION</w:t>
      </w:r>
    </w:p>
    <w:p w14:paraId="2A7A0A7C" w14:textId="77777777" w:rsidR="00EE1030" w:rsidRDefault="00000000">
      <w:pPr>
        <w:spacing w:after="44" w:line="240" w:lineRule="auto"/>
        <w:jc w:val="both"/>
      </w:pPr>
      <w:r>
        <w:rPr>
          <w:rFonts w:eastAsia="Times New Roman"/>
          <w:sz w:val="17"/>
        </w:rPr>
        <w:t>White jasmine (</w:t>
      </w:r>
      <w:r>
        <w:rPr>
          <w:rFonts w:eastAsia="Times New Roman"/>
          <w:i/>
          <w:sz w:val="17"/>
        </w:rPr>
        <w:t xml:space="preserve">Jasminum </w:t>
      </w:r>
      <w:proofErr w:type="spellStart"/>
      <w:r>
        <w:rPr>
          <w:rFonts w:eastAsia="Times New Roman"/>
          <w:i/>
          <w:sz w:val="17"/>
        </w:rPr>
        <w:t>sambac</w:t>
      </w:r>
      <w:proofErr w:type="spellEnd"/>
      <w:r>
        <w:rPr>
          <w:rFonts w:eastAsia="Times New Roman"/>
          <w:i/>
          <w:sz w:val="17"/>
        </w:rPr>
        <w:t xml:space="preserve"> L.</w:t>
      </w:r>
      <w:r>
        <w:rPr>
          <w:rFonts w:eastAsia="Times New Roman"/>
          <w:sz w:val="17"/>
        </w:rPr>
        <w:t>) is an ornamental plant with high economic value due to its extensive use in the perfume, aromatic tea, cosmetic, and essential oil industries [1]. The increasing demand for jasmine flowers has led to a growing need for high-quality planting materials that can be produced efficiently and sustainably. Therefore, the development of effective propagation techniques is essential to support the large-scale production of white jasmine [2].</w:t>
      </w:r>
    </w:p>
    <w:p w14:paraId="26F10DAA" w14:textId="77777777" w:rsidR="00EE1030" w:rsidRDefault="00000000">
      <w:pPr>
        <w:spacing w:after="44" w:line="240" w:lineRule="auto"/>
        <w:jc w:val="both"/>
      </w:pPr>
      <w:r>
        <w:rPr>
          <w:rFonts w:eastAsia="Times New Roman"/>
          <w:sz w:val="17"/>
        </w:rPr>
        <w:t>Vegetative propagation through stem cuttings is widely employed in jasmine cultivation because it enables the production of genetically uniform plants and facilitates rapid multiplication of desirable genotypes [2]. This method is relatively simple, cost-effective, and capable of producing planting materials more rapidly than seed propagation. However, the success of stem cuttings is often constrained by limited rooting ability during the early stages of growth, which is influenced by factors such as cutting type, growing medium, and the availability of growth-promoting substances [3]. Poor root development limits water and nutrient uptake, ultimately reducing plant establishment and vegetative growth [4].</w:t>
      </w:r>
    </w:p>
    <w:p w14:paraId="08A60BB4" w14:textId="77777777" w:rsidR="00EE1030" w:rsidRDefault="00000000">
      <w:pPr>
        <w:spacing w:after="44" w:line="240" w:lineRule="auto"/>
        <w:jc w:val="both"/>
      </w:pPr>
      <w:r>
        <w:rPr>
          <w:rFonts w:eastAsia="Times New Roman"/>
          <w:sz w:val="17"/>
        </w:rPr>
        <w:t>The application of plant growth regulators (PGRs) is a common approach to enhance root initiation and improve the success of vegetative propagation [5]. Although synthetic PGRs have been proven effective in stimulating root formation, their relatively high cost and increasing concerns regarding environmentally sustainable cultivation practices have encouraged the exploration of natural alternatives [6]. Among the potential natural sources of PGRs, aloe vera (</w:t>
      </w:r>
      <w:r>
        <w:rPr>
          <w:rFonts w:eastAsia="Times New Roman"/>
          <w:i/>
          <w:sz w:val="17"/>
        </w:rPr>
        <w:t>Aloe vera L.</w:t>
      </w:r>
      <w:r>
        <w:rPr>
          <w:rFonts w:eastAsia="Times New Roman"/>
          <w:sz w:val="17"/>
        </w:rPr>
        <w:t>) has attracted considerable attention due to its rooting-promoting properties and its abundance of bioactive compounds that support plant growth and development [7].</w:t>
      </w:r>
    </w:p>
    <w:p w14:paraId="651B9CCE" w14:textId="77777777" w:rsidR="00EE1030" w:rsidRDefault="00000000">
      <w:pPr>
        <w:spacing w:after="44" w:line="240" w:lineRule="auto"/>
        <w:jc w:val="both"/>
      </w:pPr>
      <w:r>
        <w:rPr>
          <w:rFonts w:eastAsia="Times New Roman"/>
          <w:i/>
          <w:sz w:val="17"/>
        </w:rPr>
        <w:t>Aloe vera</w:t>
      </w:r>
      <w:r>
        <w:rPr>
          <w:rFonts w:eastAsia="Times New Roman"/>
          <w:sz w:val="17"/>
        </w:rPr>
        <w:t xml:space="preserve"> gel contains various bioactive compounds, including auxins, gibberellins, </w:t>
      </w:r>
      <w:proofErr w:type="spellStart"/>
      <w:r>
        <w:rPr>
          <w:rFonts w:eastAsia="Times New Roman"/>
          <w:sz w:val="17"/>
        </w:rPr>
        <w:t>cytokinins</w:t>
      </w:r>
      <w:proofErr w:type="spellEnd"/>
      <w:r>
        <w:rPr>
          <w:rFonts w:eastAsia="Times New Roman"/>
          <w:sz w:val="17"/>
        </w:rPr>
        <w:t xml:space="preserve">, amino acids, vitamins, and minerals that contribute to plant growth and development [5,7]. These compounds can </w:t>
      </w:r>
      <w:r>
        <w:rPr>
          <w:rFonts w:eastAsia="Times New Roman"/>
          <w:sz w:val="17"/>
        </w:rPr>
        <w:t>stimulate adventitious root formation, enhance cell division, and promote shoot and leaf development. Previous studies have demonstrated the effectiveness of aloe vera gel as a natural growth-promoting substance in horticultural crops. Nasution et al. [8] reported improved root growth in rose cuttings treated with aloe vera gel, while El-Banna et al. [9] showed that plant-derived extracts could enhance rooting and vegetative development of stem cuttings through improvements in morpho-physiological characteristics. These findings highlight the potential of aloe vera gel as an environmentally friendly alternative to synthetic plant growth regulators.</w:t>
      </w:r>
    </w:p>
    <w:p w14:paraId="6F5B6F50" w14:textId="77777777" w:rsidR="00EE1030" w:rsidRDefault="00000000">
      <w:pPr>
        <w:spacing w:after="44" w:line="240" w:lineRule="auto"/>
        <w:jc w:val="both"/>
      </w:pPr>
      <w:r>
        <w:rPr>
          <w:rFonts w:eastAsia="Times New Roman"/>
          <w:sz w:val="17"/>
        </w:rPr>
        <w:t>Previous studies have demonstrated the potential of aloe vera gel as a natural growth-promoting substance in various horticultural crops. However, limited information is available regarding its use in white jasmine (</w:t>
      </w:r>
      <w:r>
        <w:rPr>
          <w:rFonts w:eastAsia="Times New Roman"/>
          <w:i/>
          <w:sz w:val="17"/>
        </w:rPr>
        <w:t xml:space="preserve">Jasminum </w:t>
      </w:r>
      <w:proofErr w:type="spellStart"/>
      <w:r>
        <w:rPr>
          <w:rFonts w:eastAsia="Times New Roman"/>
          <w:i/>
          <w:sz w:val="17"/>
        </w:rPr>
        <w:t>sambac</w:t>
      </w:r>
      <w:proofErr w:type="spellEnd"/>
      <w:r>
        <w:rPr>
          <w:rFonts w:eastAsia="Times New Roman"/>
          <w:i/>
          <w:sz w:val="17"/>
        </w:rPr>
        <w:t xml:space="preserve"> L.</w:t>
      </w:r>
      <w:r>
        <w:rPr>
          <w:rFonts w:eastAsia="Times New Roman"/>
          <w:sz w:val="17"/>
        </w:rPr>
        <w:t>) propagation, particularly concerning the optimum amount of aloe vera gel required to maximize rooting and vegetative development. Furthermore, comparative evaluations of different aloe vera gel doses applied directly to jasmine stem cuttings remain scarce. Therefore, this study aimed to assess the effects of four aloe vera gel doses (100, 200, 300, and 400 g) on rooting and vegetative growth and to determine the most effective dose for improving the success of white jasmine propagation.</w:t>
      </w:r>
    </w:p>
    <w:p w14:paraId="21CA4028" w14:textId="77777777" w:rsidR="00EE1030" w:rsidRDefault="00000000">
      <w:pPr>
        <w:keepNext/>
        <w:spacing w:before="140" w:after="60" w:line="240" w:lineRule="auto"/>
      </w:pPr>
      <w:r>
        <w:rPr>
          <w:rFonts w:eastAsia="Times New Roman"/>
          <w:b/>
          <w:sz w:val="20"/>
        </w:rPr>
        <w:t>MATERIALS AND METHODS</w:t>
      </w:r>
    </w:p>
    <w:p w14:paraId="670C0E2E" w14:textId="77777777" w:rsidR="00EE1030" w:rsidRDefault="00000000">
      <w:pPr>
        <w:spacing w:after="44" w:line="240" w:lineRule="auto"/>
        <w:jc w:val="both"/>
      </w:pPr>
      <w:r>
        <w:rPr>
          <w:rFonts w:eastAsia="Times New Roman"/>
          <w:sz w:val="17"/>
        </w:rPr>
        <w:t>The overall research procedure is presented in Figure 1. The study consisted of several stages, including the preparation of plant materials and growing media, treatment of white jasmine stem cuttings with different doses of aloe vera gel, planting and maintenance, growth observations, and statistical analysis. These stages were conducted to evaluate the effectiveness of aloe vera gel as a natural plant growth regulator for improving the rooting and vegetative growth of white jasmine cuttings.</w:t>
      </w:r>
    </w:p>
    <w:p w14:paraId="5488D7C5" w14:textId="77777777" w:rsidR="00EE1030" w:rsidRDefault="00000000">
      <w:pPr>
        <w:keepNext/>
        <w:spacing w:before="80" w:after="40" w:line="240" w:lineRule="auto"/>
      </w:pPr>
      <w:r>
        <w:rPr>
          <w:rFonts w:eastAsia="Times New Roman"/>
          <w:b/>
        </w:rPr>
        <w:lastRenderedPageBreak/>
        <w:t>Research site</w:t>
      </w:r>
    </w:p>
    <w:p w14:paraId="20CA9156" w14:textId="77777777" w:rsidR="00EE1030" w:rsidRDefault="00000000">
      <w:pPr>
        <w:spacing w:after="44" w:line="240" w:lineRule="auto"/>
        <w:jc w:val="both"/>
      </w:pPr>
      <w:r>
        <w:rPr>
          <w:rFonts w:eastAsia="Times New Roman"/>
          <w:sz w:val="17"/>
        </w:rPr>
        <w:t>The study was conducted from May to August 2025 in Tanjung Pasir, Tarakan City, North Kalimantan, Indonesia. The experiment was carried out under nursery conditions using polybags filled with a soil–sand–compost growing medium. The study evaluated the effects of different doses of aloe vera gel on the rooting and vegetative growth of white jasmine (</w:t>
      </w:r>
      <w:r>
        <w:rPr>
          <w:rFonts w:eastAsia="Times New Roman"/>
          <w:i/>
          <w:sz w:val="17"/>
        </w:rPr>
        <w:t xml:space="preserve">Jasminum </w:t>
      </w:r>
      <w:proofErr w:type="spellStart"/>
      <w:r>
        <w:rPr>
          <w:rFonts w:eastAsia="Times New Roman"/>
          <w:i/>
          <w:sz w:val="17"/>
        </w:rPr>
        <w:t>sambac</w:t>
      </w:r>
      <w:proofErr w:type="spellEnd"/>
      <w:r>
        <w:rPr>
          <w:rFonts w:eastAsia="Times New Roman"/>
          <w:i/>
          <w:sz w:val="17"/>
        </w:rPr>
        <w:t xml:space="preserve"> L.</w:t>
      </w:r>
      <w:r>
        <w:rPr>
          <w:rFonts w:eastAsia="Times New Roman"/>
          <w:sz w:val="17"/>
        </w:rPr>
        <w:t>) cuttings.</w:t>
      </w:r>
    </w:p>
    <w:p w14:paraId="163651E2" w14:textId="77777777" w:rsidR="00EE1030" w:rsidRDefault="00EE1030">
      <w:pPr>
        <w:sectPr w:rsidR="00EE1030">
          <w:type w:val="continuous"/>
          <w:pgSz w:w="11906" w:h="16838"/>
          <w:pgMar w:top="879" w:right="822" w:bottom="879" w:left="822" w:header="397" w:footer="397" w:gutter="0"/>
          <w:cols w:num="2" w:space="425"/>
          <w:docGrid w:linePitch="360"/>
        </w:sectPr>
      </w:pPr>
    </w:p>
    <w:p w14:paraId="3CF00313" w14:textId="77777777" w:rsidR="00EE1030" w:rsidRDefault="00000000">
      <w:pPr>
        <w:spacing w:before="80" w:after="20"/>
        <w:jc w:val="center"/>
      </w:pPr>
      <w:r>
        <w:rPr>
          <w:noProof/>
        </w:rPr>
        <w:drawing>
          <wp:inline distT="0" distB="0" distL="0" distR="0" wp14:anchorId="0AF37D3D" wp14:editId="3A183ED7">
            <wp:extent cx="3131999" cy="46964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_flow.png"/>
                    <pic:cNvPicPr/>
                  </pic:nvPicPr>
                  <pic:blipFill>
                    <a:blip r:embed="rId11"/>
                    <a:stretch>
                      <a:fillRect/>
                    </a:stretch>
                  </pic:blipFill>
                  <pic:spPr>
                    <a:xfrm>
                      <a:off x="0" y="0"/>
                      <a:ext cx="3131999" cy="4696425"/>
                    </a:xfrm>
                    <a:prstGeom prst="rect">
                      <a:avLst/>
                    </a:prstGeom>
                  </pic:spPr>
                </pic:pic>
              </a:graphicData>
            </a:graphic>
          </wp:inline>
        </w:drawing>
      </w:r>
    </w:p>
    <w:p w14:paraId="5EB2BDAD" w14:textId="77777777" w:rsidR="00EE1030" w:rsidRDefault="00000000">
      <w:pPr>
        <w:keepNext/>
        <w:spacing w:before="60" w:after="80" w:line="240" w:lineRule="auto"/>
        <w:jc w:val="both"/>
      </w:pPr>
      <w:r>
        <w:rPr>
          <w:rFonts w:eastAsia="Times New Roman"/>
          <w:b/>
          <w:sz w:val="16"/>
        </w:rPr>
        <w:t xml:space="preserve">Figure 1. </w:t>
      </w:r>
      <w:r>
        <w:rPr>
          <w:rFonts w:eastAsia="Times New Roman"/>
          <w:sz w:val="16"/>
        </w:rPr>
        <w:t>Research stages for evaluating the effectiveness of aloe vera gel as a natural plant growth regulator on the rooting and vegetative growth of white jasmine cuttings.</w:t>
      </w:r>
    </w:p>
    <w:p w14:paraId="0A238485" w14:textId="77777777" w:rsidR="00EE1030" w:rsidRDefault="00EE1030">
      <w:pPr>
        <w:sectPr w:rsidR="00EE1030">
          <w:type w:val="continuous"/>
          <w:pgSz w:w="11906" w:h="16838"/>
          <w:pgMar w:top="879" w:right="822" w:bottom="879" w:left="822" w:header="397" w:footer="397" w:gutter="0"/>
          <w:cols w:space="425"/>
          <w:docGrid w:linePitch="360"/>
        </w:sectPr>
      </w:pPr>
    </w:p>
    <w:p w14:paraId="0F9FA0A9" w14:textId="77777777" w:rsidR="00EE1030" w:rsidRDefault="00000000">
      <w:pPr>
        <w:keepNext/>
        <w:spacing w:before="80" w:after="40" w:line="240" w:lineRule="auto"/>
      </w:pPr>
      <w:r>
        <w:rPr>
          <w:rFonts w:eastAsia="Times New Roman"/>
          <w:b/>
        </w:rPr>
        <w:t>Plant materials and experimental design</w:t>
      </w:r>
    </w:p>
    <w:p w14:paraId="79E32BAA" w14:textId="77777777" w:rsidR="00EE1030" w:rsidRDefault="00000000">
      <w:pPr>
        <w:spacing w:after="44" w:line="240" w:lineRule="auto"/>
        <w:jc w:val="both"/>
      </w:pPr>
      <w:r>
        <w:rPr>
          <w:rFonts w:eastAsia="Times New Roman"/>
          <w:sz w:val="17"/>
        </w:rPr>
        <w:t>The experiment was arranged in a Randomized Complete Block Design (RCBD) with a single factor consisting of four doses of aloe vera gel used as a natural plant growth regulator: 100 g (F1), 200 g (F2), 300 g (F3), and 400 g (F4). Each treatment was replicated four times, resulting in 16 experimental units. White jasmine (</w:t>
      </w:r>
      <w:r>
        <w:rPr>
          <w:rFonts w:eastAsia="Times New Roman"/>
          <w:i/>
          <w:sz w:val="17"/>
        </w:rPr>
        <w:t xml:space="preserve">Jasminum </w:t>
      </w:r>
      <w:proofErr w:type="spellStart"/>
      <w:r>
        <w:rPr>
          <w:rFonts w:eastAsia="Times New Roman"/>
          <w:i/>
          <w:sz w:val="17"/>
        </w:rPr>
        <w:t>sambac</w:t>
      </w:r>
      <w:proofErr w:type="spellEnd"/>
      <w:r>
        <w:rPr>
          <w:rFonts w:eastAsia="Times New Roman"/>
          <w:i/>
          <w:sz w:val="17"/>
        </w:rPr>
        <w:t xml:space="preserve"> L.</w:t>
      </w:r>
      <w:r>
        <w:rPr>
          <w:rFonts w:eastAsia="Times New Roman"/>
          <w:sz w:val="17"/>
        </w:rPr>
        <w:t>) stem cuttings approximately 15 cm in length with 2–3 nodes were collected from healthy and disease-free mother plants. Prior to planting, the basal ends of the cuttings were immersed in aloe vera gel according to the respective treatment for 20 min.</w:t>
      </w:r>
    </w:p>
    <w:p w14:paraId="1B0F0269" w14:textId="77777777" w:rsidR="00EE1030" w:rsidRDefault="00000000">
      <w:pPr>
        <w:keepNext/>
        <w:spacing w:before="80" w:after="40" w:line="240" w:lineRule="auto"/>
      </w:pPr>
      <w:r>
        <w:rPr>
          <w:rFonts w:eastAsia="Times New Roman"/>
          <w:b/>
        </w:rPr>
        <w:t>Growing media and planting</w:t>
      </w:r>
    </w:p>
    <w:p w14:paraId="29DC2E1E" w14:textId="77777777" w:rsidR="00EE1030" w:rsidRDefault="00000000">
      <w:pPr>
        <w:spacing w:after="44" w:line="240" w:lineRule="auto"/>
        <w:jc w:val="both"/>
      </w:pPr>
      <w:r>
        <w:rPr>
          <w:rFonts w:eastAsia="Times New Roman"/>
          <w:sz w:val="17"/>
        </w:rPr>
        <w:t>The growing medium consisted of soil, sand, and compost mixed at a ratio of 1:1:1 (v/v/v). Treated cuttings were planted in polybags and maintained under shaded conditions during the rooting phase. Routine irrigation and weed management were carried out throughout the experiment.</w:t>
      </w:r>
    </w:p>
    <w:p w14:paraId="7EE202AC" w14:textId="77777777" w:rsidR="00EE1030" w:rsidRDefault="00000000">
      <w:pPr>
        <w:keepNext/>
        <w:spacing w:before="80" w:after="40" w:line="240" w:lineRule="auto"/>
      </w:pPr>
      <w:r>
        <w:rPr>
          <w:rFonts w:eastAsia="Times New Roman"/>
          <w:b/>
        </w:rPr>
        <w:t>Data collection and statistical analysis</w:t>
      </w:r>
    </w:p>
    <w:p w14:paraId="3F8D6F27" w14:textId="77777777" w:rsidR="00EE1030" w:rsidRDefault="00000000">
      <w:pPr>
        <w:spacing w:after="44" w:line="240" w:lineRule="auto"/>
        <w:jc w:val="both"/>
      </w:pPr>
      <w:r>
        <w:rPr>
          <w:rFonts w:eastAsia="Times New Roman"/>
          <w:sz w:val="17"/>
        </w:rPr>
        <w:t>Growth observations were conducted up to 8 weeks after planting (WAP). Parameters measured included plant height (cm), number of leaves, number of roots, and root length (cm). Data were analyzed using analysis of variance (ANOVA) at the 5% significance level. When significant differences among treatments were observed, means were separated using Duncan's Multiple Range Test (DMRT) at p ≤ 0.05. Statistical analyses were performed using SPSS software.</w:t>
      </w:r>
    </w:p>
    <w:p w14:paraId="2FEE0FF3" w14:textId="77777777" w:rsidR="00EE1030" w:rsidRDefault="00000000">
      <w:pPr>
        <w:keepNext/>
        <w:spacing w:before="140" w:after="60" w:line="240" w:lineRule="auto"/>
      </w:pPr>
      <w:r>
        <w:rPr>
          <w:rFonts w:eastAsia="Times New Roman"/>
          <w:b/>
          <w:sz w:val="20"/>
        </w:rPr>
        <w:t>RESULTS AND DISCUSSION</w:t>
      </w:r>
    </w:p>
    <w:p w14:paraId="5AE69C84" w14:textId="77777777" w:rsidR="00EE1030" w:rsidRDefault="00000000">
      <w:pPr>
        <w:spacing w:after="44" w:line="240" w:lineRule="auto"/>
        <w:jc w:val="both"/>
      </w:pPr>
      <w:r>
        <w:rPr>
          <w:rFonts w:eastAsia="Times New Roman"/>
          <w:sz w:val="17"/>
        </w:rPr>
        <w:t>The application of aloe vera gel significantly affected the vegetative growth of jasmine cuttings. This effect was demonstrated by the increase in plant height, number of leaves, number of roots, and root length during the observation period. The analysis of variance results indicated that the treatments produced different growth responses for each observed parameter.</w:t>
      </w:r>
    </w:p>
    <w:p w14:paraId="5C0F597B" w14:textId="77777777" w:rsidR="00EE1030" w:rsidRDefault="00EE1030">
      <w:pPr>
        <w:sectPr w:rsidR="00EE1030">
          <w:type w:val="continuous"/>
          <w:pgSz w:w="11906" w:h="16838"/>
          <w:pgMar w:top="879" w:right="822" w:bottom="879" w:left="822" w:header="397" w:footer="397" w:gutter="0"/>
          <w:cols w:num="2" w:space="425"/>
          <w:docGrid w:linePitch="360"/>
        </w:sectPr>
      </w:pPr>
    </w:p>
    <w:p w14:paraId="53E8A23E" w14:textId="77777777" w:rsidR="00EE1030" w:rsidRDefault="00000000">
      <w:pPr>
        <w:spacing w:before="80" w:after="20"/>
        <w:jc w:val="center"/>
      </w:pPr>
      <w:r>
        <w:rPr>
          <w:noProof/>
        </w:rPr>
        <w:drawing>
          <wp:inline distT="0" distB="0" distL="0" distR="0" wp14:anchorId="4F2F81FD" wp14:editId="6C9AB67A">
            <wp:extent cx="4356000" cy="27154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_chart.png"/>
                    <pic:cNvPicPr/>
                  </pic:nvPicPr>
                  <pic:blipFill>
                    <a:blip r:embed="rId12"/>
                    <a:stretch>
                      <a:fillRect/>
                    </a:stretch>
                  </pic:blipFill>
                  <pic:spPr>
                    <a:xfrm>
                      <a:off x="0" y="0"/>
                      <a:ext cx="4356000" cy="2715495"/>
                    </a:xfrm>
                    <a:prstGeom prst="rect">
                      <a:avLst/>
                    </a:prstGeom>
                  </pic:spPr>
                </pic:pic>
              </a:graphicData>
            </a:graphic>
          </wp:inline>
        </w:drawing>
      </w:r>
    </w:p>
    <w:p w14:paraId="1EA50735" w14:textId="77777777" w:rsidR="00EE1030" w:rsidRDefault="00000000">
      <w:pPr>
        <w:keepNext/>
        <w:spacing w:before="60" w:after="80" w:line="240" w:lineRule="auto"/>
        <w:jc w:val="both"/>
      </w:pPr>
      <w:r>
        <w:rPr>
          <w:rFonts w:eastAsia="Times New Roman"/>
          <w:b/>
          <w:sz w:val="16"/>
        </w:rPr>
        <w:t xml:space="preserve">Figure 2. </w:t>
      </w:r>
      <w:r>
        <w:rPr>
          <w:rFonts w:eastAsia="Times New Roman"/>
          <w:sz w:val="16"/>
        </w:rPr>
        <w:t>Plant height of jasmine cuttings as affected by aloe vera gel treatments. Bars with the same letter are not significantly different according to Duncan's Multiple Range Test (DMRT) at the 5% significance level (p &lt;= 0.05).</w:t>
      </w:r>
    </w:p>
    <w:p w14:paraId="3C123832" w14:textId="77777777" w:rsidR="00EE1030" w:rsidRDefault="00EE1030">
      <w:pPr>
        <w:sectPr w:rsidR="00EE1030">
          <w:type w:val="continuous"/>
          <w:pgSz w:w="11906" w:h="16838"/>
          <w:pgMar w:top="879" w:right="822" w:bottom="879" w:left="822" w:header="397" w:footer="397" w:gutter="0"/>
          <w:cols w:space="425"/>
          <w:docGrid w:linePitch="360"/>
        </w:sectPr>
      </w:pPr>
    </w:p>
    <w:p w14:paraId="2202BBFE" w14:textId="77777777" w:rsidR="00EE1030" w:rsidRDefault="00000000">
      <w:pPr>
        <w:spacing w:after="44" w:line="240" w:lineRule="auto"/>
        <w:jc w:val="both"/>
      </w:pPr>
      <w:r>
        <w:rPr>
          <w:rFonts w:eastAsia="Times New Roman"/>
          <w:sz w:val="17"/>
        </w:rPr>
        <w:t>The results showed a progressive increase in plant height throughout the observation period across all treatments. The tallest plants were obtained from cuttings treated with 300 g aloe vera gel, reaching 15.10 cm at 8 weeks after planting (WAP), whereas the lowest height was recorded in the 100 g treatment (Figure 2). The superior growth observed at the 300 g dose may be associated with the bioactive compounds present in aloe vera gel.</w:t>
      </w:r>
    </w:p>
    <w:p w14:paraId="5DF2D357" w14:textId="77777777" w:rsidR="00EE1030" w:rsidRDefault="00EE1030">
      <w:pPr>
        <w:sectPr w:rsidR="00EE1030">
          <w:type w:val="continuous"/>
          <w:pgSz w:w="11906" w:h="16838"/>
          <w:pgMar w:top="879" w:right="822" w:bottom="879" w:left="822" w:header="397" w:footer="397" w:gutter="0"/>
          <w:cols w:num="2" w:space="425"/>
          <w:docGrid w:linePitch="360"/>
        </w:sectPr>
      </w:pPr>
    </w:p>
    <w:p w14:paraId="47A2A92A" w14:textId="77777777" w:rsidR="00EE1030" w:rsidRDefault="00000000">
      <w:pPr>
        <w:spacing w:before="80" w:after="20"/>
        <w:jc w:val="center"/>
      </w:pPr>
      <w:r>
        <w:rPr>
          <w:noProof/>
        </w:rPr>
        <w:drawing>
          <wp:inline distT="0" distB="0" distL="0" distR="0" wp14:anchorId="065751EC" wp14:editId="5EEE77EA">
            <wp:extent cx="3888000" cy="471512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_root_charts.png"/>
                    <pic:cNvPicPr/>
                  </pic:nvPicPr>
                  <pic:blipFill>
                    <a:blip r:embed="rId13"/>
                    <a:stretch>
                      <a:fillRect/>
                    </a:stretch>
                  </pic:blipFill>
                  <pic:spPr>
                    <a:xfrm>
                      <a:off x="0" y="0"/>
                      <a:ext cx="3888000" cy="4715122"/>
                    </a:xfrm>
                    <a:prstGeom prst="rect">
                      <a:avLst/>
                    </a:prstGeom>
                  </pic:spPr>
                </pic:pic>
              </a:graphicData>
            </a:graphic>
          </wp:inline>
        </w:drawing>
      </w:r>
    </w:p>
    <w:p w14:paraId="46409410" w14:textId="77777777" w:rsidR="00EE1030" w:rsidRDefault="00000000">
      <w:pPr>
        <w:keepNext/>
        <w:spacing w:before="60" w:after="80" w:line="240" w:lineRule="auto"/>
        <w:jc w:val="both"/>
      </w:pPr>
      <w:r>
        <w:rPr>
          <w:rFonts w:eastAsia="Times New Roman"/>
          <w:b/>
          <w:sz w:val="16"/>
        </w:rPr>
        <w:t xml:space="preserve">Figure 3. </w:t>
      </w:r>
      <w:r>
        <w:rPr>
          <w:rFonts w:eastAsia="Times New Roman"/>
          <w:sz w:val="16"/>
        </w:rPr>
        <w:t>Root growth of jasmine cuttings as affected by aloe vera gel treatments: (a) number of roots and (b) root length. Bars followed by the same letter are not significantly different according to Duncan's Multiple Range Test (DMRT) at the 5% significance level (p &lt;= 0.05).</w:t>
      </w:r>
    </w:p>
    <w:p w14:paraId="367D018E" w14:textId="77777777" w:rsidR="00EE1030" w:rsidRDefault="00EE1030">
      <w:pPr>
        <w:sectPr w:rsidR="00EE1030">
          <w:type w:val="continuous"/>
          <w:pgSz w:w="11906" w:h="16838"/>
          <w:pgMar w:top="879" w:right="822" w:bottom="879" w:left="822" w:header="397" w:footer="397" w:gutter="0"/>
          <w:cols w:space="425"/>
          <w:docGrid w:linePitch="360"/>
        </w:sectPr>
      </w:pPr>
    </w:p>
    <w:p w14:paraId="74B172F5" w14:textId="77777777" w:rsidR="00EE1030" w:rsidRDefault="00000000">
      <w:pPr>
        <w:spacing w:after="44" w:line="240" w:lineRule="auto"/>
        <w:jc w:val="both"/>
      </w:pPr>
      <w:r>
        <w:rPr>
          <w:rFonts w:eastAsia="Times New Roman"/>
          <w:sz w:val="17"/>
        </w:rPr>
        <w:t xml:space="preserve">Recent evidence has confirmed the presence of endogenous phytohormones, including gibberellins and </w:t>
      </w:r>
      <w:proofErr w:type="spellStart"/>
      <w:r>
        <w:rPr>
          <w:rFonts w:eastAsia="Times New Roman"/>
          <w:sz w:val="17"/>
        </w:rPr>
        <w:t>cytokinins</w:t>
      </w:r>
      <w:proofErr w:type="spellEnd"/>
      <w:r>
        <w:rPr>
          <w:rFonts w:eastAsia="Times New Roman"/>
          <w:sz w:val="17"/>
        </w:rPr>
        <w:t xml:space="preserve">, which play important roles in cell elongation, cell division, and shoot development [10]. </w:t>
      </w:r>
      <w:r>
        <w:rPr>
          <w:rFonts w:eastAsia="Times New Roman"/>
          <w:i/>
          <w:sz w:val="17"/>
        </w:rPr>
        <w:t>Aloe vera</w:t>
      </w:r>
      <w:r>
        <w:rPr>
          <w:rFonts w:eastAsia="Times New Roman"/>
          <w:sz w:val="17"/>
        </w:rPr>
        <w:t xml:space="preserve"> gel also contains amino acids, vitamins, sugars, and minerals that support metabolic and physiological activities related to plant growth [5,7]. Furthermore, improved root development may have enhanced water and nutrient uptake, thereby promoting shoot elongation during the establishment phase. Similar responses have been reported in white jasmine treated with natural growth-promoting substances [2], while aloe vera gel has been shown to improve growth performance in rose cuttings [8], </w:t>
      </w:r>
      <w:r>
        <w:rPr>
          <w:rFonts w:eastAsia="Times New Roman"/>
          <w:i/>
          <w:sz w:val="17"/>
        </w:rPr>
        <w:t>Moringa oleifera</w:t>
      </w:r>
      <w:r>
        <w:rPr>
          <w:rFonts w:eastAsia="Times New Roman"/>
          <w:sz w:val="17"/>
        </w:rPr>
        <w:t xml:space="preserve"> seedlings [11], and in vitro-grown </w:t>
      </w:r>
      <w:r>
        <w:rPr>
          <w:rFonts w:eastAsia="Times New Roman"/>
          <w:i/>
          <w:sz w:val="17"/>
        </w:rPr>
        <w:t>Populus</w:t>
      </w:r>
      <w:r>
        <w:rPr>
          <w:rFonts w:eastAsia="Times New Roman"/>
          <w:sz w:val="17"/>
        </w:rPr>
        <w:t xml:space="preserve"> plants [12]. Likewise, El-Banna et al. [9] demonstrated that plant-derived extracts enhanced the morpho-physiological performance of stem cuttings, supporting their role as natural </w:t>
      </w:r>
      <w:proofErr w:type="spellStart"/>
      <w:r>
        <w:rPr>
          <w:rFonts w:eastAsia="Times New Roman"/>
          <w:sz w:val="17"/>
        </w:rPr>
        <w:t>biostimulants</w:t>
      </w:r>
      <w:proofErr w:type="spellEnd"/>
      <w:r>
        <w:rPr>
          <w:rFonts w:eastAsia="Times New Roman"/>
          <w:sz w:val="17"/>
        </w:rPr>
        <w:t xml:space="preserve"> in vegetative propagation. These findings indicate that aloe vera gel can serve as an effective natural </w:t>
      </w:r>
      <w:proofErr w:type="spellStart"/>
      <w:r>
        <w:rPr>
          <w:rFonts w:eastAsia="Times New Roman"/>
          <w:sz w:val="17"/>
        </w:rPr>
        <w:t>biostimulant</w:t>
      </w:r>
      <w:proofErr w:type="spellEnd"/>
      <w:r>
        <w:rPr>
          <w:rFonts w:eastAsia="Times New Roman"/>
          <w:sz w:val="17"/>
        </w:rPr>
        <w:t xml:space="preserve"> for enhancing vegetative growth when applied at an appropriate dose.</w:t>
      </w:r>
    </w:p>
    <w:p w14:paraId="5694210E" w14:textId="77777777" w:rsidR="00EE1030" w:rsidRDefault="00000000">
      <w:pPr>
        <w:spacing w:after="44" w:line="240" w:lineRule="auto"/>
        <w:jc w:val="both"/>
      </w:pPr>
      <w:r>
        <w:rPr>
          <w:rFonts w:eastAsia="Times New Roman"/>
          <w:sz w:val="17"/>
        </w:rPr>
        <w:t xml:space="preserve">Root development responded positively to the application of aloe vera gel (Figure 3). At 8 weeks after planting (WAP), cuttings treated with 300 g aloe vera gel produced the highest number of roots (9.75 roots plant⁻¹) and the greatest root length (4.00 cm), indicating superior rooting performance compared with the other treatments. The enhancement of root formation may be attributed to the presence of endogenous auxins and other bioactive compounds in aloe vera gel that stimulate root initiation and the development of adventitious roots [5][10]. In addition, aloe vera contains vitamins, amino acids, and minerals that support cell differentiation and root growth [7]. Similar observations were reported by Nasution et al. [8], who found that aloe vera gel promoted root growth in rose cuttings, demonstrating its potential as a natural plant growth regulator. Likewise, </w:t>
      </w:r>
      <w:proofErr w:type="spellStart"/>
      <w:r>
        <w:rPr>
          <w:rFonts w:eastAsia="Times New Roman"/>
          <w:sz w:val="17"/>
        </w:rPr>
        <w:t>Mirihagalla</w:t>
      </w:r>
      <w:proofErr w:type="spellEnd"/>
      <w:r>
        <w:rPr>
          <w:rFonts w:eastAsia="Times New Roman"/>
          <w:sz w:val="17"/>
        </w:rPr>
        <w:t xml:space="preserve"> and Fernando [13] reported improved rooting performance in stem cuttings treated with aloe vera gel. The effectiveness of aloe vera gel as a natural rooting agent has also been demonstrated in </w:t>
      </w:r>
      <w:r>
        <w:rPr>
          <w:rFonts w:eastAsia="Times New Roman"/>
          <w:i/>
          <w:sz w:val="17"/>
        </w:rPr>
        <w:t xml:space="preserve">Ficus </w:t>
      </w:r>
      <w:proofErr w:type="spellStart"/>
      <w:r>
        <w:rPr>
          <w:rFonts w:eastAsia="Times New Roman"/>
          <w:i/>
          <w:sz w:val="17"/>
        </w:rPr>
        <w:t>benjamina</w:t>
      </w:r>
      <w:proofErr w:type="spellEnd"/>
      <w:r>
        <w:rPr>
          <w:rFonts w:eastAsia="Times New Roman"/>
          <w:sz w:val="17"/>
        </w:rPr>
        <w:t xml:space="preserve">, where its application enhanced root formation under different propagation substrates [14]. Furthermore, Srivastava [15] highlighted aloe vera as one of the most promising organic rooting substances for horticultural crop propagation due to its rich composition of growth-promoting compounds. A well-developed root system enhances water and nutrient uptake, thereby improving plant establishment and supporting subsequent vegetative growth. The superior rooting response observed at the 300 g treatment suggests that this dose provided a favorable balance of growth-promoting substances for root development, whereas increasing the dose to 400 g did not result in further improvement. These findings are consistent with recent reports describing the effectiveness of aloe vera-based </w:t>
      </w:r>
      <w:proofErr w:type="spellStart"/>
      <w:r>
        <w:rPr>
          <w:rFonts w:eastAsia="Times New Roman"/>
          <w:sz w:val="17"/>
        </w:rPr>
        <w:t>biostimulants</w:t>
      </w:r>
      <w:proofErr w:type="spellEnd"/>
      <w:r>
        <w:rPr>
          <w:rFonts w:eastAsia="Times New Roman"/>
          <w:sz w:val="17"/>
        </w:rPr>
        <w:t xml:space="preserve"> in improving propagation success and growth performance in horticultural crops [16,17].</w:t>
      </w:r>
    </w:p>
    <w:p w14:paraId="0BC50043" w14:textId="77777777" w:rsidR="00EE1030" w:rsidRDefault="00000000">
      <w:pPr>
        <w:spacing w:after="44" w:line="240" w:lineRule="auto"/>
        <w:jc w:val="both"/>
      </w:pPr>
      <w:r>
        <w:rPr>
          <w:rFonts w:eastAsia="Times New Roman"/>
          <w:sz w:val="17"/>
        </w:rPr>
        <w:t xml:space="preserve">A similar trend was observed for leaf production (Figure 4). The application of 300 g aloe vera gel resulted in the highest number of leaves, averaging 9.50 leaves plant⁻¹ at 8 weeks after planting (WAP). Increased leaf production reflects enhanced meristematic activity and </w:t>
      </w:r>
      <w:proofErr w:type="gramStart"/>
      <w:r>
        <w:rPr>
          <w:rFonts w:eastAsia="Times New Roman"/>
          <w:sz w:val="17"/>
        </w:rPr>
        <w:t>shoot</w:t>
      </w:r>
      <w:proofErr w:type="gramEnd"/>
      <w:r>
        <w:rPr>
          <w:rFonts w:eastAsia="Times New Roman"/>
          <w:sz w:val="17"/>
        </w:rPr>
        <w:t xml:space="preserve"> development, which may be associated with the presence of endogenous phytohormones, particularly </w:t>
      </w:r>
      <w:proofErr w:type="spellStart"/>
      <w:r>
        <w:rPr>
          <w:rFonts w:eastAsia="Times New Roman"/>
          <w:sz w:val="17"/>
        </w:rPr>
        <w:t>cytokinins</w:t>
      </w:r>
      <w:proofErr w:type="spellEnd"/>
      <w:r>
        <w:rPr>
          <w:rFonts w:eastAsia="Times New Roman"/>
          <w:sz w:val="17"/>
        </w:rPr>
        <w:t xml:space="preserve">, in aloe vera gel [10]. </w:t>
      </w:r>
      <w:proofErr w:type="spellStart"/>
      <w:r>
        <w:rPr>
          <w:rFonts w:eastAsia="Times New Roman"/>
          <w:sz w:val="17"/>
        </w:rPr>
        <w:t>Cytokinins</w:t>
      </w:r>
      <w:proofErr w:type="spellEnd"/>
      <w:r>
        <w:rPr>
          <w:rFonts w:eastAsia="Times New Roman"/>
          <w:sz w:val="17"/>
        </w:rPr>
        <w:t xml:space="preserve"> play a central role in stimulating cell division, shoot organogenesis, and leaf initiation, thereby promoting the formation of new vegetative organs [18,19]. In addition to regulating cell division and organ formation, aloe vera contains essential nutrients and bioactive compounds that support physiological processes involved in vegetative growth [5,7]. Improved root development observed under the 300 g treatment likely enhanced water and nutrient acquisition, thereby providing greater resources for leaf initiation and expansion. Previous studies have demonstrated that root system architecture strongly influences the efficiency of water and nutrient uptake, which subsequently supports aboveground growth and leaf development [20-24]. Similar responses have been reported in white jasmine treated with natural plant growth regulators [2]. The positive influence of aloe vera and other plant-derived extracts on vegetative growth has also been documented in </w:t>
      </w:r>
      <w:r>
        <w:rPr>
          <w:rFonts w:eastAsia="Times New Roman"/>
          <w:i/>
          <w:sz w:val="17"/>
        </w:rPr>
        <w:t>Moringa oleifera</w:t>
      </w:r>
      <w:r>
        <w:rPr>
          <w:rFonts w:eastAsia="Times New Roman"/>
          <w:sz w:val="17"/>
        </w:rPr>
        <w:t xml:space="preserve"> seedlings [11], in vitro-grown </w:t>
      </w:r>
      <w:r>
        <w:rPr>
          <w:rFonts w:eastAsia="Times New Roman"/>
          <w:i/>
          <w:sz w:val="17"/>
        </w:rPr>
        <w:t>Populus</w:t>
      </w:r>
      <w:r>
        <w:rPr>
          <w:rFonts w:eastAsia="Times New Roman"/>
          <w:sz w:val="17"/>
        </w:rPr>
        <w:t xml:space="preserve"> plants [12], and ornamental stem cuttings [9]. Furthermore, the synergistic interaction between auxins and </w:t>
      </w:r>
      <w:proofErr w:type="spellStart"/>
      <w:r>
        <w:rPr>
          <w:rFonts w:eastAsia="Times New Roman"/>
          <w:sz w:val="17"/>
        </w:rPr>
        <w:t>cytokinins</w:t>
      </w:r>
      <w:proofErr w:type="spellEnd"/>
      <w:r>
        <w:rPr>
          <w:rFonts w:eastAsia="Times New Roman"/>
          <w:sz w:val="17"/>
        </w:rPr>
        <w:t xml:space="preserve"> has been recognized as a key factor regulating shoot proliferation and vegetative development [25]. Although the 400 g treatment also promoted leaf development, its performance did not exceed that of the 300 g treatment. This finding suggests that plant responses to growth-promoting substances follow an optimum-dose pattern, in which excessive concentrations may disrupt hormonal balance and reduce physiological efficiency.</w:t>
      </w:r>
    </w:p>
    <w:p w14:paraId="1FA7CC94" w14:textId="77777777" w:rsidR="00EE1030" w:rsidRDefault="00EE1030">
      <w:pPr>
        <w:sectPr w:rsidR="00EE1030">
          <w:type w:val="continuous"/>
          <w:pgSz w:w="11906" w:h="16838"/>
          <w:pgMar w:top="879" w:right="822" w:bottom="879" w:left="822" w:header="397" w:footer="397" w:gutter="0"/>
          <w:cols w:num="2" w:space="425"/>
          <w:docGrid w:linePitch="360"/>
        </w:sectPr>
      </w:pPr>
    </w:p>
    <w:p w14:paraId="03601320" w14:textId="77777777" w:rsidR="00EE1030" w:rsidRDefault="00000000">
      <w:pPr>
        <w:spacing w:before="80" w:after="20"/>
        <w:jc w:val="center"/>
      </w:pPr>
      <w:r>
        <w:rPr>
          <w:noProof/>
        </w:rPr>
        <w:drawing>
          <wp:inline distT="0" distB="0" distL="0" distR="0" wp14:anchorId="7D7B3A26" wp14:editId="7B72C474">
            <wp:extent cx="4248000" cy="264589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4_leaves_chart.png"/>
                    <pic:cNvPicPr/>
                  </pic:nvPicPr>
                  <pic:blipFill>
                    <a:blip r:embed="rId14"/>
                    <a:stretch>
                      <a:fillRect/>
                    </a:stretch>
                  </pic:blipFill>
                  <pic:spPr>
                    <a:xfrm>
                      <a:off x="0" y="0"/>
                      <a:ext cx="4248000" cy="2645897"/>
                    </a:xfrm>
                    <a:prstGeom prst="rect">
                      <a:avLst/>
                    </a:prstGeom>
                  </pic:spPr>
                </pic:pic>
              </a:graphicData>
            </a:graphic>
          </wp:inline>
        </w:drawing>
      </w:r>
    </w:p>
    <w:p w14:paraId="17CA5F6F" w14:textId="77777777" w:rsidR="00EE1030" w:rsidRDefault="00000000">
      <w:pPr>
        <w:keepNext/>
        <w:spacing w:before="60" w:after="80" w:line="240" w:lineRule="auto"/>
        <w:jc w:val="both"/>
      </w:pPr>
      <w:r>
        <w:rPr>
          <w:rFonts w:eastAsia="Times New Roman"/>
          <w:b/>
          <w:sz w:val="16"/>
        </w:rPr>
        <w:t xml:space="preserve">Figure 4. </w:t>
      </w:r>
      <w:r>
        <w:rPr>
          <w:rFonts w:eastAsia="Times New Roman"/>
          <w:sz w:val="16"/>
        </w:rPr>
        <w:t>Number of leaves of jasmine cuttings as affected by aloe vera gel treatments. Bars followed by the same letter are not significantly different according to Duncan's Multiple Range Test (DMRT) at the 5% significance level (p &lt;= 0.05).</w:t>
      </w:r>
    </w:p>
    <w:p w14:paraId="49BBF0A0" w14:textId="77777777" w:rsidR="00EE1030" w:rsidRDefault="00EE1030">
      <w:pPr>
        <w:sectPr w:rsidR="00EE1030">
          <w:type w:val="continuous"/>
          <w:pgSz w:w="11906" w:h="16838"/>
          <w:pgMar w:top="879" w:right="822" w:bottom="879" w:left="822" w:header="397" w:footer="397" w:gutter="0"/>
          <w:cols w:space="425"/>
          <w:docGrid w:linePitch="360"/>
        </w:sectPr>
      </w:pPr>
    </w:p>
    <w:p w14:paraId="4A0B1905" w14:textId="77777777" w:rsidR="00EE1030" w:rsidRDefault="00000000">
      <w:pPr>
        <w:spacing w:after="44" w:line="240" w:lineRule="auto"/>
        <w:jc w:val="both"/>
      </w:pPr>
      <w:r>
        <w:rPr>
          <w:rFonts w:eastAsia="Times New Roman"/>
          <w:sz w:val="17"/>
        </w:rPr>
        <w:t>Overall, the results demonstrate that aloe vera gel can serve as an effective natural plant growth regulator for white jasmine propagation. Among the tested treatments, the application of 300 g aloe vera gel provided the most favorable balance between root and shoot development, creating optimal hormonal conditions for leaf formation and vegetative growth. Consequently, this treatment resulted in the highest overall vegetative performance compared with the other treatments.</w:t>
      </w:r>
    </w:p>
    <w:p w14:paraId="26CBA810" w14:textId="77777777" w:rsidR="00EE1030" w:rsidRDefault="00000000">
      <w:pPr>
        <w:keepNext/>
        <w:spacing w:before="140" w:after="60" w:line="240" w:lineRule="auto"/>
      </w:pPr>
      <w:r>
        <w:rPr>
          <w:rFonts w:eastAsia="Times New Roman"/>
          <w:b/>
          <w:sz w:val="20"/>
        </w:rPr>
        <w:t>CONCLUSION</w:t>
      </w:r>
    </w:p>
    <w:p w14:paraId="6DFB4015" w14:textId="77777777" w:rsidR="00EE1030" w:rsidRDefault="00000000">
      <w:pPr>
        <w:spacing w:after="44" w:line="240" w:lineRule="auto"/>
        <w:jc w:val="both"/>
      </w:pPr>
      <w:r>
        <w:rPr>
          <w:rFonts w:eastAsia="Times New Roman"/>
          <w:sz w:val="17"/>
        </w:rPr>
        <w:t>The application of aloe vera gel significantly influenced the rooting and vegetative growth of white jasmine (</w:t>
      </w:r>
      <w:r>
        <w:rPr>
          <w:rFonts w:eastAsia="Times New Roman"/>
          <w:i/>
          <w:sz w:val="17"/>
        </w:rPr>
        <w:t xml:space="preserve">Jasminum </w:t>
      </w:r>
      <w:proofErr w:type="spellStart"/>
      <w:r>
        <w:rPr>
          <w:rFonts w:eastAsia="Times New Roman"/>
          <w:i/>
          <w:sz w:val="17"/>
        </w:rPr>
        <w:t>sambac</w:t>
      </w:r>
      <w:proofErr w:type="spellEnd"/>
      <w:r>
        <w:rPr>
          <w:rFonts w:eastAsia="Times New Roman"/>
          <w:i/>
          <w:sz w:val="17"/>
        </w:rPr>
        <w:t xml:space="preserve"> L.</w:t>
      </w:r>
      <w:r>
        <w:rPr>
          <w:rFonts w:eastAsia="Times New Roman"/>
          <w:sz w:val="17"/>
        </w:rPr>
        <w:t>) cuttings. Among the tested treatments, the application of 300 g aloe vera gel produced the best overall growth performance. At 8 weeks after planting, this treatment resulted in the highest plant height (15.10 cm), number of leaves (9.50 leaves plant⁻¹), number of roots (9.75 roots plant⁻¹), and root length (4.00 cm). These findings indicate that 300 g aloe vera gel is the optimum dose for promoting rooting and vegetative growth and demonstrate its potential as an effective natural plant growth regulator for improving the success of white jasmine propagation through stem cuttings.</w:t>
      </w:r>
    </w:p>
    <w:p w14:paraId="5AD65067" w14:textId="77777777" w:rsidR="00EE1030" w:rsidRDefault="00000000">
      <w:pPr>
        <w:keepNext/>
        <w:spacing w:before="140" w:after="60" w:line="240" w:lineRule="auto"/>
      </w:pPr>
      <w:r>
        <w:rPr>
          <w:rFonts w:eastAsia="Times New Roman"/>
          <w:b/>
          <w:sz w:val="20"/>
        </w:rPr>
        <w:t>ACKNOWLEDGMENT</w:t>
      </w:r>
    </w:p>
    <w:p w14:paraId="6AD7531C" w14:textId="77777777" w:rsidR="00EE1030" w:rsidRDefault="00000000">
      <w:pPr>
        <w:spacing w:after="44" w:line="240" w:lineRule="auto"/>
        <w:jc w:val="both"/>
      </w:pPr>
      <w:r>
        <w:rPr>
          <w:rFonts w:eastAsia="Times New Roman"/>
          <w:sz w:val="17"/>
        </w:rPr>
        <w:t xml:space="preserve">The authors would like to express their sincere appreciation to the Plant Science Laboratory, Department of Agrotechnology, Faculty of Agriculture, Universitas Borneo Tarakan, for providing research facilities and support. The authors are also grateful to </w:t>
      </w:r>
      <w:proofErr w:type="spellStart"/>
      <w:r>
        <w:rPr>
          <w:rFonts w:eastAsia="Times New Roman"/>
          <w:sz w:val="17"/>
        </w:rPr>
        <w:t>Wichart</w:t>
      </w:r>
      <w:proofErr w:type="spellEnd"/>
      <w:r>
        <w:rPr>
          <w:rFonts w:eastAsia="Times New Roman"/>
          <w:sz w:val="17"/>
        </w:rPr>
        <w:t xml:space="preserve"> Flower for providing the plant cuttings used as experimental materials and to all parties who contributed to the completion of this study.</w:t>
      </w:r>
    </w:p>
    <w:p w14:paraId="619C5540" w14:textId="77777777" w:rsidR="00EE1030" w:rsidRDefault="00000000">
      <w:pPr>
        <w:keepNext/>
        <w:spacing w:before="140" w:after="60" w:line="240" w:lineRule="auto"/>
      </w:pPr>
      <w:r>
        <w:rPr>
          <w:rFonts w:eastAsia="Times New Roman"/>
          <w:b/>
          <w:sz w:val="20"/>
        </w:rPr>
        <w:t>REFERENCES</w:t>
      </w:r>
    </w:p>
    <w:p w14:paraId="457F70A9" w14:textId="77777777" w:rsidR="00EE1030" w:rsidRDefault="00000000">
      <w:pPr>
        <w:spacing w:after="40" w:line="240" w:lineRule="auto"/>
        <w:ind w:left="238" w:hanging="238"/>
        <w:jc w:val="both"/>
      </w:pPr>
      <w:r>
        <w:rPr>
          <w:rFonts w:eastAsia="Times New Roman"/>
          <w:sz w:val="15"/>
        </w:rPr>
        <w:t xml:space="preserve">[1] Yassen MS, Ayoub IM, El-Ahmady SH, </w:t>
      </w:r>
      <w:proofErr w:type="spellStart"/>
      <w:r>
        <w:rPr>
          <w:rFonts w:eastAsia="Times New Roman"/>
          <w:sz w:val="15"/>
        </w:rPr>
        <w:t>Singab</w:t>
      </w:r>
      <w:proofErr w:type="spellEnd"/>
      <w:r>
        <w:rPr>
          <w:rFonts w:eastAsia="Times New Roman"/>
          <w:sz w:val="15"/>
        </w:rPr>
        <w:t xml:space="preserve"> ANB. Comparative analysis of flower volatiles from four Jasminum species growing in Egypt using multivariate analysis. Sci Rep. 2026;16(1):8947. doi:10.1038/s41598-026-39688-w.</w:t>
      </w:r>
    </w:p>
    <w:p w14:paraId="4511D943" w14:textId="77777777" w:rsidR="00EE1030" w:rsidRDefault="00000000">
      <w:pPr>
        <w:spacing w:after="40" w:line="240" w:lineRule="auto"/>
        <w:ind w:left="238" w:hanging="238"/>
        <w:jc w:val="both"/>
      </w:pPr>
      <w:r>
        <w:rPr>
          <w:rFonts w:eastAsia="Times New Roman"/>
          <w:sz w:val="15"/>
        </w:rPr>
        <w:t xml:space="preserve">[2] </w:t>
      </w:r>
      <w:proofErr w:type="spellStart"/>
      <w:r>
        <w:rPr>
          <w:rFonts w:eastAsia="Times New Roman"/>
          <w:sz w:val="15"/>
        </w:rPr>
        <w:t>Agustinur</w:t>
      </w:r>
      <w:proofErr w:type="spellEnd"/>
      <w:r>
        <w:rPr>
          <w:rFonts w:eastAsia="Times New Roman"/>
          <w:sz w:val="15"/>
        </w:rPr>
        <w:t xml:space="preserve">, </w:t>
      </w:r>
      <w:proofErr w:type="spellStart"/>
      <w:r>
        <w:rPr>
          <w:rFonts w:eastAsia="Times New Roman"/>
          <w:sz w:val="15"/>
        </w:rPr>
        <w:t>Harahap</w:t>
      </w:r>
      <w:proofErr w:type="spellEnd"/>
      <w:r>
        <w:rPr>
          <w:rFonts w:eastAsia="Times New Roman"/>
          <w:sz w:val="15"/>
        </w:rPr>
        <w:t xml:space="preserve"> EJ, </w:t>
      </w:r>
      <w:proofErr w:type="spellStart"/>
      <w:r>
        <w:rPr>
          <w:rFonts w:eastAsia="Times New Roman"/>
          <w:sz w:val="15"/>
        </w:rPr>
        <w:t>Lizmah</w:t>
      </w:r>
      <w:proofErr w:type="spellEnd"/>
      <w:r>
        <w:rPr>
          <w:rFonts w:eastAsia="Times New Roman"/>
          <w:sz w:val="15"/>
        </w:rPr>
        <w:t xml:space="preserve"> SF, Muslimah Y, Irfan B. The effect of various natural growth regulatory substances and the origin of stem cuttings on the vegetative growth of white jasmine (</w:t>
      </w:r>
      <w:r>
        <w:rPr>
          <w:rFonts w:eastAsia="Times New Roman"/>
          <w:i/>
          <w:sz w:val="15"/>
        </w:rPr>
        <w:t xml:space="preserve">Jasminum </w:t>
      </w:r>
      <w:proofErr w:type="spellStart"/>
      <w:r>
        <w:rPr>
          <w:rFonts w:eastAsia="Times New Roman"/>
          <w:i/>
          <w:sz w:val="15"/>
        </w:rPr>
        <w:t>sambac</w:t>
      </w:r>
      <w:proofErr w:type="spellEnd"/>
      <w:r>
        <w:rPr>
          <w:rFonts w:eastAsia="Times New Roman"/>
          <w:i/>
          <w:sz w:val="15"/>
        </w:rPr>
        <w:t xml:space="preserve"> L.</w:t>
      </w:r>
      <w:r>
        <w:rPr>
          <w:rFonts w:eastAsia="Times New Roman"/>
          <w:sz w:val="15"/>
        </w:rPr>
        <w:t xml:space="preserve">). IOP Conf Ser Earth Environ Sci. </w:t>
      </w:r>
      <w:proofErr w:type="gramStart"/>
      <w:r>
        <w:rPr>
          <w:rFonts w:eastAsia="Times New Roman"/>
          <w:sz w:val="15"/>
        </w:rPr>
        <w:t>2023;1241:012023</w:t>
      </w:r>
      <w:proofErr w:type="gramEnd"/>
      <w:r>
        <w:rPr>
          <w:rFonts w:eastAsia="Times New Roman"/>
          <w:sz w:val="15"/>
        </w:rPr>
        <w:t>. doi:10.1088/1755-1315/1241/1/012023.</w:t>
      </w:r>
    </w:p>
    <w:p w14:paraId="58C8BF52" w14:textId="77777777" w:rsidR="00EE1030" w:rsidRDefault="00000000">
      <w:pPr>
        <w:spacing w:after="40" w:line="240" w:lineRule="auto"/>
        <w:ind w:left="238" w:hanging="238"/>
        <w:jc w:val="both"/>
      </w:pPr>
      <w:r>
        <w:rPr>
          <w:rFonts w:eastAsia="Times New Roman"/>
          <w:sz w:val="15"/>
        </w:rPr>
        <w:t>[3] Sodi DK, Markam PS, Sahu TL, Shankar D, Nishad D. Effect of different growing media and types of stem cuttings on rooting of jasmine (</w:t>
      </w:r>
      <w:r>
        <w:rPr>
          <w:rFonts w:eastAsia="Times New Roman"/>
          <w:i/>
          <w:sz w:val="15"/>
        </w:rPr>
        <w:t xml:space="preserve">Jasminum </w:t>
      </w:r>
      <w:proofErr w:type="spellStart"/>
      <w:r>
        <w:rPr>
          <w:rFonts w:eastAsia="Times New Roman"/>
          <w:i/>
          <w:sz w:val="15"/>
        </w:rPr>
        <w:t>sambac</w:t>
      </w:r>
      <w:proofErr w:type="spellEnd"/>
      <w:r>
        <w:rPr>
          <w:rFonts w:eastAsia="Times New Roman"/>
          <w:i/>
          <w:sz w:val="15"/>
        </w:rPr>
        <w:t xml:space="preserve"> L.</w:t>
      </w:r>
      <w:r>
        <w:rPr>
          <w:rFonts w:eastAsia="Times New Roman"/>
          <w:sz w:val="15"/>
        </w:rPr>
        <w:t xml:space="preserve">). Int J Res Agron. 2024;7(7):890–896. </w:t>
      </w:r>
      <w:proofErr w:type="gramStart"/>
      <w:r>
        <w:rPr>
          <w:rFonts w:eastAsia="Times New Roman"/>
          <w:sz w:val="15"/>
        </w:rPr>
        <w:t>doi:10.33545/2618060X.2024.v7.i7k</w:t>
      </w:r>
      <w:proofErr w:type="gramEnd"/>
      <w:r>
        <w:rPr>
          <w:rFonts w:eastAsia="Times New Roman"/>
          <w:sz w:val="15"/>
        </w:rPr>
        <w:t>.1151.</w:t>
      </w:r>
    </w:p>
    <w:p w14:paraId="2860A0C8" w14:textId="77777777" w:rsidR="00EE1030" w:rsidRDefault="00000000">
      <w:pPr>
        <w:spacing w:after="40" w:line="240" w:lineRule="auto"/>
        <w:ind w:left="238" w:hanging="238"/>
        <w:jc w:val="both"/>
      </w:pPr>
      <w:r>
        <w:rPr>
          <w:rFonts w:eastAsia="Times New Roman"/>
          <w:sz w:val="15"/>
        </w:rPr>
        <w:t xml:space="preserve">[4] Muslimah Y, </w:t>
      </w:r>
      <w:proofErr w:type="spellStart"/>
      <w:r>
        <w:rPr>
          <w:rFonts w:eastAsia="Times New Roman"/>
          <w:sz w:val="15"/>
        </w:rPr>
        <w:t>Lizmah</w:t>
      </w:r>
      <w:proofErr w:type="spellEnd"/>
      <w:r>
        <w:rPr>
          <w:rFonts w:eastAsia="Times New Roman"/>
          <w:sz w:val="15"/>
        </w:rPr>
        <w:t xml:space="preserve"> SF, </w:t>
      </w:r>
      <w:proofErr w:type="spellStart"/>
      <w:r>
        <w:rPr>
          <w:rFonts w:eastAsia="Times New Roman"/>
          <w:sz w:val="15"/>
        </w:rPr>
        <w:t>Fayanti</w:t>
      </w:r>
      <w:proofErr w:type="spellEnd"/>
      <w:r>
        <w:rPr>
          <w:rFonts w:eastAsia="Times New Roman"/>
          <w:sz w:val="15"/>
        </w:rPr>
        <w:t xml:space="preserve"> N. Growth response of </w:t>
      </w:r>
      <w:proofErr w:type="spellStart"/>
      <w:r>
        <w:rPr>
          <w:rFonts w:eastAsia="Times New Roman"/>
          <w:sz w:val="15"/>
        </w:rPr>
        <w:t>melati</w:t>
      </w:r>
      <w:proofErr w:type="spellEnd"/>
      <w:r>
        <w:rPr>
          <w:rFonts w:eastAsia="Times New Roman"/>
          <w:sz w:val="15"/>
        </w:rPr>
        <w:t xml:space="preserve"> plant (</w:t>
      </w:r>
      <w:r>
        <w:rPr>
          <w:rFonts w:eastAsia="Times New Roman"/>
          <w:i/>
          <w:sz w:val="15"/>
        </w:rPr>
        <w:t xml:space="preserve">Jasminum </w:t>
      </w:r>
      <w:proofErr w:type="spellStart"/>
      <w:r>
        <w:rPr>
          <w:rFonts w:eastAsia="Times New Roman"/>
          <w:i/>
          <w:sz w:val="15"/>
        </w:rPr>
        <w:t>sambac</w:t>
      </w:r>
      <w:proofErr w:type="spellEnd"/>
      <w:r>
        <w:rPr>
          <w:rFonts w:eastAsia="Times New Roman"/>
          <w:i/>
          <w:sz w:val="15"/>
        </w:rPr>
        <w:t xml:space="preserve"> L.</w:t>
      </w:r>
      <w:r>
        <w:rPr>
          <w:rFonts w:eastAsia="Times New Roman"/>
          <w:sz w:val="15"/>
        </w:rPr>
        <w:t>) against types of media plants and types of growing agents. Budapest Int Res Exact Sci (</w:t>
      </w:r>
      <w:proofErr w:type="spellStart"/>
      <w:r>
        <w:rPr>
          <w:rFonts w:eastAsia="Times New Roman"/>
          <w:sz w:val="15"/>
        </w:rPr>
        <w:t>BirEx</w:t>
      </w:r>
      <w:proofErr w:type="spellEnd"/>
      <w:r>
        <w:rPr>
          <w:rFonts w:eastAsia="Times New Roman"/>
          <w:sz w:val="15"/>
        </w:rPr>
        <w:t>) J. 2020;2(2):188–200. doi:10.33258/</w:t>
      </w:r>
      <w:proofErr w:type="gramStart"/>
      <w:r>
        <w:rPr>
          <w:rFonts w:eastAsia="Times New Roman"/>
          <w:sz w:val="15"/>
        </w:rPr>
        <w:t>birex.v</w:t>
      </w:r>
      <w:proofErr w:type="gramEnd"/>
      <w:r>
        <w:rPr>
          <w:rFonts w:eastAsia="Times New Roman"/>
          <w:sz w:val="15"/>
        </w:rPr>
        <w:t>2i2.893.</w:t>
      </w:r>
    </w:p>
    <w:p w14:paraId="1E04D307" w14:textId="77777777" w:rsidR="00EE1030" w:rsidRDefault="00000000">
      <w:pPr>
        <w:spacing w:after="40" w:line="240" w:lineRule="auto"/>
        <w:ind w:left="238" w:hanging="238"/>
        <w:jc w:val="both"/>
      </w:pPr>
      <w:r>
        <w:rPr>
          <w:rFonts w:eastAsia="Times New Roman"/>
          <w:sz w:val="15"/>
        </w:rPr>
        <w:t>[5] Rajan RP, Singh G. A review on the use of organic rooting substances for propagation of horticulture crops. Plant Arch. 2021;21(Suppl 1):685–692. doi:10.51470/</w:t>
      </w:r>
      <w:proofErr w:type="gramStart"/>
      <w:r>
        <w:rPr>
          <w:rFonts w:eastAsia="Times New Roman"/>
          <w:sz w:val="15"/>
        </w:rPr>
        <w:t>PLANTARCHIVES.2021.v21.S</w:t>
      </w:r>
      <w:proofErr w:type="gramEnd"/>
      <w:r>
        <w:rPr>
          <w:rFonts w:eastAsia="Times New Roman"/>
          <w:sz w:val="15"/>
        </w:rPr>
        <w:t>1.103.</w:t>
      </w:r>
    </w:p>
    <w:p w14:paraId="3A207A20" w14:textId="77777777" w:rsidR="00EE1030" w:rsidRDefault="00000000">
      <w:pPr>
        <w:spacing w:after="40" w:line="240" w:lineRule="auto"/>
        <w:ind w:left="238" w:hanging="238"/>
        <w:jc w:val="both"/>
      </w:pPr>
      <w:r>
        <w:rPr>
          <w:rFonts w:eastAsia="Times New Roman"/>
          <w:sz w:val="15"/>
        </w:rPr>
        <w:t xml:space="preserve">[6] </w:t>
      </w:r>
      <w:proofErr w:type="spellStart"/>
      <w:r>
        <w:rPr>
          <w:rFonts w:eastAsia="Times New Roman"/>
          <w:sz w:val="15"/>
        </w:rPr>
        <w:t>Prisa</w:t>
      </w:r>
      <w:proofErr w:type="spellEnd"/>
      <w:r>
        <w:rPr>
          <w:rFonts w:eastAsia="Times New Roman"/>
          <w:sz w:val="15"/>
        </w:rPr>
        <w:t xml:space="preserve"> D, Matsoukis A, Jamal A, Spagnuolo D. Environmental impacts of plant growth regulators in modern agriculture: advances, risks, and sustainable perspectives. Agrochemicals. 2026;5(1):14. doi:10.3390/agrochemicals5010014.</w:t>
      </w:r>
    </w:p>
    <w:p w14:paraId="0AF9FB84" w14:textId="77777777" w:rsidR="00EE1030" w:rsidRDefault="00000000">
      <w:pPr>
        <w:spacing w:after="40" w:line="240" w:lineRule="auto"/>
        <w:ind w:left="238" w:hanging="238"/>
        <w:jc w:val="both"/>
      </w:pPr>
      <w:r>
        <w:rPr>
          <w:rFonts w:eastAsia="Times New Roman"/>
          <w:sz w:val="15"/>
        </w:rPr>
        <w:t xml:space="preserve">[7] Wijesundara I, </w:t>
      </w:r>
      <w:proofErr w:type="spellStart"/>
      <w:r>
        <w:rPr>
          <w:rFonts w:eastAsia="Times New Roman"/>
          <w:sz w:val="15"/>
        </w:rPr>
        <w:t>Basooriya</w:t>
      </w:r>
      <w:proofErr w:type="spellEnd"/>
      <w:r>
        <w:rPr>
          <w:rFonts w:eastAsia="Times New Roman"/>
          <w:sz w:val="15"/>
        </w:rPr>
        <w:t xml:space="preserve"> SS, Kumarasinghe S, Dissanayake RDVR. Potential of organic rooting substances in horticultural crop propagation: a comprehensive review with a focus on aloe vera gel, coconut water, and bee honey. In: Proceedings of the 8th International Research Conference of Uva </w:t>
      </w:r>
      <w:proofErr w:type="spellStart"/>
      <w:r>
        <w:rPr>
          <w:rFonts w:eastAsia="Times New Roman"/>
          <w:sz w:val="15"/>
        </w:rPr>
        <w:t>Wellassa</w:t>
      </w:r>
      <w:proofErr w:type="spellEnd"/>
      <w:r>
        <w:rPr>
          <w:rFonts w:eastAsia="Times New Roman"/>
          <w:sz w:val="15"/>
        </w:rPr>
        <w:t xml:space="preserve"> University; 2024 Jul; Uva </w:t>
      </w:r>
      <w:proofErr w:type="spellStart"/>
      <w:r>
        <w:rPr>
          <w:rFonts w:eastAsia="Times New Roman"/>
          <w:sz w:val="15"/>
        </w:rPr>
        <w:t>Wellassa</w:t>
      </w:r>
      <w:proofErr w:type="spellEnd"/>
      <w:r>
        <w:rPr>
          <w:rFonts w:eastAsia="Times New Roman"/>
          <w:sz w:val="15"/>
        </w:rPr>
        <w:t xml:space="preserve"> University, Sri Lanka. 2024.</w:t>
      </w:r>
    </w:p>
    <w:p w14:paraId="33329AEB" w14:textId="77777777" w:rsidR="00EE1030" w:rsidRDefault="00000000">
      <w:pPr>
        <w:spacing w:after="40" w:line="240" w:lineRule="auto"/>
        <w:ind w:left="238" w:hanging="238"/>
        <w:jc w:val="both"/>
      </w:pPr>
      <w:r>
        <w:rPr>
          <w:rFonts w:eastAsia="Times New Roman"/>
          <w:sz w:val="15"/>
        </w:rPr>
        <w:t xml:space="preserve">[8] Nasution WR, Batubara PRH, </w:t>
      </w:r>
      <w:proofErr w:type="spellStart"/>
      <w:r>
        <w:rPr>
          <w:rFonts w:eastAsia="Times New Roman"/>
          <w:sz w:val="15"/>
        </w:rPr>
        <w:t>Sigalingging</w:t>
      </w:r>
      <w:proofErr w:type="spellEnd"/>
      <w:r>
        <w:rPr>
          <w:rFonts w:eastAsia="Times New Roman"/>
          <w:sz w:val="15"/>
        </w:rPr>
        <w:t xml:space="preserve"> DM, </w:t>
      </w:r>
      <w:proofErr w:type="spellStart"/>
      <w:r>
        <w:rPr>
          <w:rFonts w:eastAsia="Times New Roman"/>
          <w:sz w:val="15"/>
        </w:rPr>
        <w:t>Hasibuan</w:t>
      </w:r>
      <w:proofErr w:type="spellEnd"/>
      <w:r>
        <w:rPr>
          <w:rFonts w:eastAsia="Times New Roman"/>
          <w:sz w:val="15"/>
        </w:rPr>
        <w:t xml:space="preserve"> LH. Utilization of </w:t>
      </w:r>
      <w:r>
        <w:rPr>
          <w:rFonts w:eastAsia="Times New Roman"/>
          <w:i/>
          <w:sz w:val="15"/>
        </w:rPr>
        <w:t>Aloe vera</w:t>
      </w:r>
      <w:r>
        <w:rPr>
          <w:rFonts w:eastAsia="Times New Roman"/>
          <w:sz w:val="15"/>
        </w:rPr>
        <w:t xml:space="preserve"> as a natural ZPT alternative for the growth of rose plant roots. </w:t>
      </w:r>
      <w:proofErr w:type="spellStart"/>
      <w:r>
        <w:rPr>
          <w:rFonts w:eastAsia="Times New Roman"/>
          <w:sz w:val="15"/>
        </w:rPr>
        <w:t>Bioedunis</w:t>
      </w:r>
      <w:proofErr w:type="spellEnd"/>
      <w:r>
        <w:rPr>
          <w:rFonts w:eastAsia="Times New Roman"/>
          <w:sz w:val="15"/>
        </w:rPr>
        <w:t xml:space="preserve"> J. 2023;2(1):34–38. doi:10.24952/</w:t>
      </w:r>
      <w:proofErr w:type="gramStart"/>
      <w:r>
        <w:rPr>
          <w:rFonts w:eastAsia="Times New Roman"/>
          <w:sz w:val="15"/>
        </w:rPr>
        <w:t>bioedunis.v</w:t>
      </w:r>
      <w:proofErr w:type="gramEnd"/>
      <w:r>
        <w:rPr>
          <w:rFonts w:eastAsia="Times New Roman"/>
          <w:sz w:val="15"/>
        </w:rPr>
        <w:t>2i1.8214.</w:t>
      </w:r>
    </w:p>
    <w:p w14:paraId="376E0A67" w14:textId="77777777" w:rsidR="00EE1030" w:rsidRDefault="00000000">
      <w:pPr>
        <w:spacing w:after="40" w:line="240" w:lineRule="auto"/>
        <w:ind w:left="238" w:hanging="238"/>
        <w:jc w:val="both"/>
      </w:pPr>
      <w:r>
        <w:rPr>
          <w:rFonts w:eastAsia="Times New Roman"/>
          <w:sz w:val="15"/>
        </w:rPr>
        <w:t xml:space="preserve">[9] El-Banna H, Haroun SA, </w:t>
      </w:r>
      <w:proofErr w:type="spellStart"/>
      <w:r>
        <w:rPr>
          <w:rFonts w:eastAsia="Times New Roman"/>
          <w:sz w:val="15"/>
        </w:rPr>
        <w:t>Albishi</w:t>
      </w:r>
      <w:proofErr w:type="spellEnd"/>
      <w:r>
        <w:rPr>
          <w:rFonts w:eastAsia="Times New Roman"/>
          <w:sz w:val="15"/>
        </w:rPr>
        <w:t xml:space="preserve"> TS, Rashed AA, </w:t>
      </w:r>
      <w:proofErr w:type="spellStart"/>
      <w:r>
        <w:rPr>
          <w:rFonts w:eastAsia="Times New Roman"/>
          <w:sz w:val="15"/>
        </w:rPr>
        <w:t>Albadrani</w:t>
      </w:r>
      <w:proofErr w:type="spellEnd"/>
      <w:r>
        <w:rPr>
          <w:rFonts w:eastAsia="Times New Roman"/>
          <w:sz w:val="15"/>
        </w:rPr>
        <w:t xml:space="preserve"> M, Abdelaal K, Alkhateeb OA, Abdou AH. The natural alternatives: the impact of plant extracts on snowbush (</w:t>
      </w:r>
      <w:proofErr w:type="spellStart"/>
      <w:r>
        <w:rPr>
          <w:rFonts w:eastAsia="Times New Roman"/>
          <w:i/>
          <w:sz w:val="15"/>
        </w:rPr>
        <w:t>Breynia</w:t>
      </w:r>
      <w:proofErr w:type="spellEnd"/>
      <w:r>
        <w:rPr>
          <w:rFonts w:eastAsia="Times New Roman"/>
          <w:i/>
          <w:sz w:val="15"/>
        </w:rPr>
        <w:t xml:space="preserve"> </w:t>
      </w:r>
      <w:proofErr w:type="spellStart"/>
      <w:r>
        <w:rPr>
          <w:rFonts w:eastAsia="Times New Roman"/>
          <w:i/>
          <w:sz w:val="15"/>
        </w:rPr>
        <w:t>disticha</w:t>
      </w:r>
      <w:proofErr w:type="spellEnd"/>
      <w:r>
        <w:rPr>
          <w:rFonts w:eastAsia="Times New Roman"/>
          <w:sz w:val="15"/>
        </w:rPr>
        <w:t xml:space="preserve"> Forst.) cuttings' morpho-physiological and biochemical characteristics. </w:t>
      </w:r>
      <w:proofErr w:type="spellStart"/>
      <w:r>
        <w:rPr>
          <w:rFonts w:eastAsia="Times New Roman"/>
          <w:sz w:val="15"/>
        </w:rPr>
        <w:t>Horticulturae</w:t>
      </w:r>
      <w:proofErr w:type="spellEnd"/>
      <w:r>
        <w:rPr>
          <w:rFonts w:eastAsia="Times New Roman"/>
          <w:sz w:val="15"/>
        </w:rPr>
        <w:t>. 2023;9(10):1122. doi:10.3390/horticulturae9101122.</w:t>
      </w:r>
    </w:p>
    <w:p w14:paraId="1391F3E0" w14:textId="77777777" w:rsidR="00EE1030" w:rsidRDefault="00000000">
      <w:pPr>
        <w:spacing w:after="40" w:line="240" w:lineRule="auto"/>
        <w:ind w:left="238" w:hanging="238"/>
        <w:jc w:val="both"/>
      </w:pPr>
      <w:r>
        <w:rPr>
          <w:rFonts w:eastAsia="Times New Roman"/>
          <w:sz w:val="15"/>
        </w:rPr>
        <w:t xml:space="preserve">[10] Hakeem MK, </w:t>
      </w:r>
      <w:proofErr w:type="spellStart"/>
      <w:r>
        <w:rPr>
          <w:rFonts w:eastAsia="Times New Roman"/>
          <w:sz w:val="15"/>
        </w:rPr>
        <w:t>Maraqa</w:t>
      </w:r>
      <w:proofErr w:type="spellEnd"/>
      <w:r>
        <w:rPr>
          <w:rFonts w:eastAsia="Times New Roman"/>
          <w:sz w:val="15"/>
        </w:rPr>
        <w:t xml:space="preserve"> M, Elangovan SK, Saeed EE, Mishra AK, </w:t>
      </w:r>
      <w:proofErr w:type="spellStart"/>
      <w:r>
        <w:rPr>
          <w:rFonts w:eastAsia="Times New Roman"/>
          <w:sz w:val="15"/>
        </w:rPr>
        <w:t>Hazzouri</w:t>
      </w:r>
      <w:proofErr w:type="spellEnd"/>
      <w:r>
        <w:rPr>
          <w:rFonts w:eastAsia="Times New Roman"/>
          <w:sz w:val="15"/>
        </w:rPr>
        <w:t xml:space="preserve"> KM, Shah I, Amiri KMA. Innovative determination of phytohormones in </w:t>
      </w:r>
      <w:r>
        <w:rPr>
          <w:rFonts w:eastAsia="Times New Roman"/>
          <w:i/>
          <w:sz w:val="15"/>
        </w:rPr>
        <w:t>Aloe vera</w:t>
      </w:r>
      <w:r>
        <w:rPr>
          <w:rFonts w:eastAsia="Times New Roman"/>
          <w:sz w:val="15"/>
        </w:rPr>
        <w:t xml:space="preserve">. Front Chem. </w:t>
      </w:r>
      <w:proofErr w:type="gramStart"/>
      <w:r>
        <w:rPr>
          <w:rFonts w:eastAsia="Times New Roman"/>
          <w:sz w:val="15"/>
        </w:rPr>
        <w:t>2025;12:1490639</w:t>
      </w:r>
      <w:proofErr w:type="gramEnd"/>
      <w:r>
        <w:rPr>
          <w:rFonts w:eastAsia="Times New Roman"/>
          <w:sz w:val="15"/>
        </w:rPr>
        <w:t>. doi:10.3389/fchem.2024.1490639.</w:t>
      </w:r>
    </w:p>
    <w:p w14:paraId="6145A5C6" w14:textId="77777777" w:rsidR="00EE1030" w:rsidRDefault="00000000">
      <w:pPr>
        <w:spacing w:after="40" w:line="240" w:lineRule="auto"/>
        <w:ind w:left="238" w:hanging="238"/>
        <w:jc w:val="both"/>
      </w:pPr>
      <w:r>
        <w:rPr>
          <w:rFonts w:eastAsia="Times New Roman"/>
          <w:sz w:val="15"/>
        </w:rPr>
        <w:t xml:space="preserve">[11] Chachar M, Memon SA, Miano TF, Chachar S, </w:t>
      </w:r>
      <w:proofErr w:type="spellStart"/>
      <w:r>
        <w:rPr>
          <w:rFonts w:eastAsia="Times New Roman"/>
          <w:sz w:val="15"/>
        </w:rPr>
        <w:t>Majeedano</w:t>
      </w:r>
      <w:proofErr w:type="spellEnd"/>
      <w:r>
        <w:rPr>
          <w:rFonts w:eastAsia="Times New Roman"/>
          <w:sz w:val="15"/>
        </w:rPr>
        <w:t xml:space="preserve"> MI, Chachar ZA, Chachar SA, Ullah R, Jiskani SS, Mehmood T. Effect of different concentrations of </w:t>
      </w:r>
      <w:r>
        <w:rPr>
          <w:rFonts w:eastAsia="Times New Roman"/>
          <w:i/>
          <w:sz w:val="15"/>
        </w:rPr>
        <w:t>Aloe vera</w:t>
      </w:r>
      <w:r>
        <w:rPr>
          <w:rFonts w:eastAsia="Times New Roman"/>
          <w:sz w:val="15"/>
        </w:rPr>
        <w:t xml:space="preserve"> gel on seed germination and growth of moringa (</w:t>
      </w:r>
      <w:r>
        <w:rPr>
          <w:rFonts w:eastAsia="Times New Roman"/>
          <w:i/>
          <w:sz w:val="15"/>
        </w:rPr>
        <w:t>Moringa oleifera</w:t>
      </w:r>
      <w:r>
        <w:rPr>
          <w:rFonts w:eastAsia="Times New Roman"/>
          <w:sz w:val="15"/>
        </w:rPr>
        <w:t>). J Agric Vet Sci. 2025;4(3):285–297. doi:10.55627/agrivet.004.03.1502.</w:t>
      </w:r>
    </w:p>
    <w:p w14:paraId="47F58F1F" w14:textId="77777777" w:rsidR="00EE1030" w:rsidRDefault="00000000">
      <w:pPr>
        <w:spacing w:after="40" w:line="240" w:lineRule="auto"/>
        <w:ind w:left="238" w:hanging="238"/>
        <w:jc w:val="both"/>
      </w:pPr>
      <w:r>
        <w:rPr>
          <w:rFonts w:eastAsia="Times New Roman"/>
          <w:sz w:val="15"/>
        </w:rPr>
        <w:t xml:space="preserve">[12] El Sherif F. </w:t>
      </w:r>
      <w:r>
        <w:rPr>
          <w:rFonts w:eastAsia="Times New Roman"/>
          <w:i/>
          <w:sz w:val="15"/>
        </w:rPr>
        <w:t>Aloe vera</w:t>
      </w:r>
      <w:r>
        <w:rPr>
          <w:rFonts w:eastAsia="Times New Roman"/>
          <w:sz w:val="15"/>
        </w:rPr>
        <w:t xml:space="preserve"> leaf extract as a potential growth enhancer for </w:t>
      </w:r>
      <w:r>
        <w:rPr>
          <w:rFonts w:eastAsia="Times New Roman"/>
          <w:i/>
          <w:sz w:val="15"/>
        </w:rPr>
        <w:t>Populus</w:t>
      </w:r>
      <w:r>
        <w:rPr>
          <w:rFonts w:eastAsia="Times New Roman"/>
          <w:sz w:val="15"/>
        </w:rPr>
        <w:t xml:space="preserve"> trees grown under in vitro conditions. Am J Plant Biol. 2017;2(3):101–105. </w:t>
      </w:r>
      <w:proofErr w:type="gramStart"/>
      <w:r>
        <w:rPr>
          <w:rFonts w:eastAsia="Times New Roman"/>
          <w:sz w:val="15"/>
        </w:rPr>
        <w:t>doi:10.11648/j.ajpb</w:t>
      </w:r>
      <w:proofErr w:type="gramEnd"/>
      <w:r>
        <w:rPr>
          <w:rFonts w:eastAsia="Times New Roman"/>
          <w:sz w:val="15"/>
        </w:rPr>
        <w:t>.20170203.13.</w:t>
      </w:r>
    </w:p>
    <w:p w14:paraId="32806B35" w14:textId="77777777" w:rsidR="00EE1030" w:rsidRDefault="00000000">
      <w:pPr>
        <w:spacing w:after="40" w:line="240" w:lineRule="auto"/>
        <w:ind w:left="238" w:hanging="238"/>
        <w:jc w:val="both"/>
      </w:pPr>
      <w:r>
        <w:rPr>
          <w:rFonts w:eastAsia="Times New Roman"/>
          <w:sz w:val="15"/>
        </w:rPr>
        <w:t xml:space="preserve">[13] </w:t>
      </w:r>
      <w:proofErr w:type="spellStart"/>
      <w:r>
        <w:rPr>
          <w:rFonts w:eastAsia="Times New Roman"/>
          <w:sz w:val="15"/>
        </w:rPr>
        <w:t>Mirihagalla</w:t>
      </w:r>
      <w:proofErr w:type="spellEnd"/>
      <w:r>
        <w:rPr>
          <w:rFonts w:eastAsia="Times New Roman"/>
          <w:sz w:val="15"/>
        </w:rPr>
        <w:t xml:space="preserve"> MKPN, Fernando KMC. Effect of </w:t>
      </w:r>
      <w:r>
        <w:rPr>
          <w:rFonts w:eastAsia="Times New Roman"/>
          <w:i/>
          <w:sz w:val="15"/>
        </w:rPr>
        <w:t>Aloe vera</w:t>
      </w:r>
      <w:r>
        <w:rPr>
          <w:rFonts w:eastAsia="Times New Roman"/>
          <w:sz w:val="15"/>
        </w:rPr>
        <w:t xml:space="preserve"> gel for inducing rooting of stem cuttings and air layering of plants. J Dry Zone Agric. 2020;6(1):13–26. Available from: https://ir.lib.ruh.ac.lk/xmlui/handle/iruor/8814</w:t>
      </w:r>
    </w:p>
    <w:p w14:paraId="039DAD05" w14:textId="77777777" w:rsidR="00EE1030" w:rsidRDefault="00000000">
      <w:r>
        <w:br w:type="column"/>
      </w:r>
    </w:p>
    <w:p w14:paraId="53034759" w14:textId="77777777" w:rsidR="00EE1030" w:rsidRDefault="00000000">
      <w:pPr>
        <w:spacing w:after="40" w:line="240" w:lineRule="auto"/>
        <w:ind w:left="238" w:hanging="238"/>
        <w:jc w:val="both"/>
      </w:pPr>
      <w:r w:rsidRPr="00E50743">
        <w:rPr>
          <w:rFonts w:eastAsia="Times New Roman"/>
          <w:sz w:val="15"/>
          <w:lang w:val="it-IT"/>
        </w:rPr>
        <w:t xml:space="preserve">[14] Alvarado-Aguayo A, Munzón-Quintana M. Evaluación de la efectividad de gel de sábila y agua de coco como enraizantes naturales en diferentes sustratos para propagación asexual de árboles de </w:t>
      </w:r>
      <w:r w:rsidRPr="00E50743">
        <w:rPr>
          <w:rFonts w:eastAsia="Times New Roman"/>
          <w:i/>
          <w:sz w:val="15"/>
          <w:lang w:val="it-IT"/>
        </w:rPr>
        <w:t>Ficus benjamina</w:t>
      </w:r>
      <w:r w:rsidRPr="00E50743">
        <w:rPr>
          <w:rFonts w:eastAsia="Times New Roman"/>
          <w:sz w:val="15"/>
          <w:lang w:val="it-IT"/>
        </w:rPr>
        <w:t xml:space="preserve">. </w:t>
      </w:r>
      <w:r>
        <w:rPr>
          <w:rFonts w:eastAsia="Times New Roman"/>
          <w:sz w:val="15"/>
        </w:rPr>
        <w:t xml:space="preserve">Agron </w:t>
      </w:r>
      <w:proofErr w:type="spellStart"/>
      <w:r>
        <w:rPr>
          <w:rFonts w:eastAsia="Times New Roman"/>
          <w:sz w:val="15"/>
        </w:rPr>
        <w:t>Costarricense</w:t>
      </w:r>
      <w:proofErr w:type="spellEnd"/>
      <w:r>
        <w:rPr>
          <w:rFonts w:eastAsia="Times New Roman"/>
          <w:sz w:val="15"/>
        </w:rPr>
        <w:t>. 2020;44(1):65–78. doi:10.15517/RAC.V44I1.40002.</w:t>
      </w:r>
    </w:p>
    <w:p w14:paraId="3FD4F374" w14:textId="77777777" w:rsidR="00EE1030" w:rsidRDefault="00000000">
      <w:pPr>
        <w:spacing w:after="40" w:line="240" w:lineRule="auto"/>
        <w:ind w:left="238" w:hanging="238"/>
        <w:jc w:val="both"/>
      </w:pPr>
      <w:r>
        <w:rPr>
          <w:rFonts w:eastAsia="Times New Roman"/>
          <w:sz w:val="15"/>
        </w:rPr>
        <w:t>[15] Srivastava MP. Natural root promoting substances for rooting of horticulture crops. Int J Res Mol Immunol. 2023;1(1). doi:10.53555/</w:t>
      </w:r>
      <w:proofErr w:type="gramStart"/>
      <w:r>
        <w:rPr>
          <w:rFonts w:eastAsia="Times New Roman"/>
          <w:sz w:val="15"/>
        </w:rPr>
        <w:t>mi.v</w:t>
      </w:r>
      <w:proofErr w:type="gramEnd"/>
      <w:r>
        <w:rPr>
          <w:rFonts w:eastAsia="Times New Roman"/>
          <w:sz w:val="15"/>
        </w:rPr>
        <w:t>1i1.2305.</w:t>
      </w:r>
    </w:p>
    <w:p w14:paraId="678C85FA" w14:textId="77777777" w:rsidR="00EE1030" w:rsidRDefault="00000000">
      <w:pPr>
        <w:spacing w:after="40" w:line="240" w:lineRule="auto"/>
        <w:ind w:left="238" w:hanging="238"/>
        <w:jc w:val="both"/>
      </w:pPr>
      <w:r>
        <w:rPr>
          <w:rFonts w:eastAsia="Times New Roman"/>
          <w:sz w:val="15"/>
        </w:rPr>
        <w:t xml:space="preserve">[16] </w:t>
      </w:r>
      <w:proofErr w:type="spellStart"/>
      <w:r>
        <w:rPr>
          <w:rFonts w:eastAsia="Times New Roman"/>
          <w:sz w:val="15"/>
        </w:rPr>
        <w:t>Maghfirah</w:t>
      </w:r>
      <w:proofErr w:type="spellEnd"/>
      <w:r>
        <w:rPr>
          <w:rFonts w:eastAsia="Times New Roman"/>
          <w:sz w:val="15"/>
        </w:rPr>
        <w:t xml:space="preserve">, </w:t>
      </w:r>
      <w:proofErr w:type="spellStart"/>
      <w:r>
        <w:rPr>
          <w:rFonts w:eastAsia="Times New Roman"/>
          <w:sz w:val="15"/>
        </w:rPr>
        <w:t>Liyanda</w:t>
      </w:r>
      <w:proofErr w:type="spellEnd"/>
      <w:r>
        <w:rPr>
          <w:rFonts w:eastAsia="Times New Roman"/>
          <w:sz w:val="15"/>
        </w:rPr>
        <w:t xml:space="preserve"> M, Agustina S, Maharani A. </w:t>
      </w:r>
      <w:proofErr w:type="spellStart"/>
      <w:r>
        <w:rPr>
          <w:rFonts w:eastAsia="Times New Roman"/>
          <w:sz w:val="15"/>
        </w:rPr>
        <w:t>Efektivitas</w:t>
      </w:r>
      <w:proofErr w:type="spellEnd"/>
      <w:r>
        <w:rPr>
          <w:rFonts w:eastAsia="Times New Roman"/>
          <w:sz w:val="15"/>
        </w:rPr>
        <w:t xml:space="preserve"> gel </w:t>
      </w:r>
      <w:proofErr w:type="spellStart"/>
      <w:r>
        <w:rPr>
          <w:rFonts w:eastAsia="Times New Roman"/>
          <w:sz w:val="15"/>
        </w:rPr>
        <w:t>lidah</w:t>
      </w:r>
      <w:proofErr w:type="spellEnd"/>
      <w:r>
        <w:rPr>
          <w:rFonts w:eastAsia="Times New Roman"/>
          <w:sz w:val="15"/>
        </w:rPr>
        <w:t xml:space="preserve"> </w:t>
      </w:r>
      <w:proofErr w:type="spellStart"/>
      <w:r>
        <w:rPr>
          <w:rFonts w:eastAsia="Times New Roman"/>
          <w:sz w:val="15"/>
        </w:rPr>
        <w:t>buaya</w:t>
      </w:r>
      <w:proofErr w:type="spellEnd"/>
      <w:r>
        <w:rPr>
          <w:rFonts w:eastAsia="Times New Roman"/>
          <w:sz w:val="15"/>
        </w:rPr>
        <w:t xml:space="preserve"> </w:t>
      </w:r>
      <w:proofErr w:type="spellStart"/>
      <w:r>
        <w:rPr>
          <w:rFonts w:eastAsia="Times New Roman"/>
          <w:sz w:val="15"/>
        </w:rPr>
        <w:t>sebagai</w:t>
      </w:r>
      <w:proofErr w:type="spellEnd"/>
      <w:r>
        <w:rPr>
          <w:rFonts w:eastAsia="Times New Roman"/>
          <w:sz w:val="15"/>
        </w:rPr>
        <w:t xml:space="preserve"> ZPT </w:t>
      </w:r>
      <w:proofErr w:type="spellStart"/>
      <w:r>
        <w:rPr>
          <w:rFonts w:eastAsia="Times New Roman"/>
          <w:sz w:val="15"/>
        </w:rPr>
        <w:t>alami</w:t>
      </w:r>
      <w:proofErr w:type="spellEnd"/>
      <w:r>
        <w:rPr>
          <w:rFonts w:eastAsia="Times New Roman"/>
          <w:sz w:val="15"/>
        </w:rPr>
        <w:t xml:space="preserve"> </w:t>
      </w:r>
      <w:proofErr w:type="spellStart"/>
      <w:r>
        <w:rPr>
          <w:rFonts w:eastAsia="Times New Roman"/>
          <w:sz w:val="15"/>
        </w:rPr>
        <w:t>terhadap</w:t>
      </w:r>
      <w:proofErr w:type="spellEnd"/>
      <w:r>
        <w:rPr>
          <w:rFonts w:eastAsia="Times New Roman"/>
          <w:sz w:val="15"/>
        </w:rPr>
        <w:t xml:space="preserve"> </w:t>
      </w:r>
      <w:proofErr w:type="spellStart"/>
      <w:r>
        <w:rPr>
          <w:rFonts w:eastAsia="Times New Roman"/>
          <w:sz w:val="15"/>
        </w:rPr>
        <w:t>keberhasilan</w:t>
      </w:r>
      <w:proofErr w:type="spellEnd"/>
      <w:r>
        <w:rPr>
          <w:rFonts w:eastAsia="Times New Roman"/>
          <w:sz w:val="15"/>
        </w:rPr>
        <w:t xml:space="preserve"> grafting </w:t>
      </w:r>
      <w:proofErr w:type="spellStart"/>
      <w:r>
        <w:rPr>
          <w:rFonts w:eastAsia="Times New Roman"/>
          <w:sz w:val="15"/>
        </w:rPr>
        <w:t>bibit</w:t>
      </w:r>
      <w:proofErr w:type="spellEnd"/>
      <w:r>
        <w:rPr>
          <w:rFonts w:eastAsia="Times New Roman"/>
          <w:sz w:val="15"/>
        </w:rPr>
        <w:t xml:space="preserve"> </w:t>
      </w:r>
      <w:proofErr w:type="spellStart"/>
      <w:r>
        <w:rPr>
          <w:rFonts w:eastAsia="Times New Roman"/>
          <w:sz w:val="15"/>
        </w:rPr>
        <w:t>mangga</w:t>
      </w:r>
      <w:proofErr w:type="spellEnd"/>
      <w:r>
        <w:rPr>
          <w:rFonts w:eastAsia="Times New Roman"/>
          <w:sz w:val="15"/>
        </w:rPr>
        <w:t xml:space="preserve"> </w:t>
      </w:r>
      <w:proofErr w:type="spellStart"/>
      <w:r>
        <w:rPr>
          <w:rFonts w:eastAsia="Times New Roman"/>
          <w:sz w:val="15"/>
        </w:rPr>
        <w:t>madu</w:t>
      </w:r>
      <w:proofErr w:type="spellEnd"/>
      <w:r>
        <w:rPr>
          <w:rFonts w:eastAsia="Times New Roman"/>
          <w:sz w:val="15"/>
        </w:rPr>
        <w:t xml:space="preserve"> (</w:t>
      </w:r>
      <w:r>
        <w:rPr>
          <w:rFonts w:eastAsia="Times New Roman"/>
          <w:i/>
          <w:sz w:val="15"/>
        </w:rPr>
        <w:t>Mangifera indica</w:t>
      </w:r>
      <w:r>
        <w:rPr>
          <w:rFonts w:eastAsia="Times New Roman"/>
          <w:sz w:val="15"/>
        </w:rPr>
        <w:t>). ROCE J Pertan Terapan. 2025;2(2). doi:10.71275/</w:t>
      </w:r>
      <w:proofErr w:type="gramStart"/>
      <w:r>
        <w:rPr>
          <w:rFonts w:eastAsia="Times New Roman"/>
          <w:sz w:val="15"/>
        </w:rPr>
        <w:t>roce.v</w:t>
      </w:r>
      <w:proofErr w:type="gramEnd"/>
      <w:r>
        <w:rPr>
          <w:rFonts w:eastAsia="Times New Roman"/>
          <w:sz w:val="15"/>
        </w:rPr>
        <w:t>2i2.133.</w:t>
      </w:r>
    </w:p>
    <w:p w14:paraId="14FCA3AF" w14:textId="77777777" w:rsidR="00EE1030" w:rsidRDefault="00000000">
      <w:pPr>
        <w:spacing w:after="40" w:line="240" w:lineRule="auto"/>
        <w:ind w:left="238" w:hanging="238"/>
        <w:jc w:val="both"/>
      </w:pPr>
      <w:r>
        <w:rPr>
          <w:rFonts w:eastAsia="Times New Roman"/>
          <w:sz w:val="15"/>
        </w:rPr>
        <w:t xml:space="preserve">[17] Kant K, Gupta S, Kaur N, Jindal P, Ali A. Effect of </w:t>
      </w:r>
      <w:r>
        <w:rPr>
          <w:rFonts w:eastAsia="Times New Roman"/>
          <w:i/>
          <w:sz w:val="15"/>
        </w:rPr>
        <w:t>Aloe vera</w:t>
      </w:r>
      <w:r>
        <w:rPr>
          <w:rFonts w:eastAsia="Times New Roman"/>
          <w:sz w:val="15"/>
        </w:rPr>
        <w:t xml:space="preserve"> extract on the cultivation practices of </w:t>
      </w:r>
      <w:r>
        <w:rPr>
          <w:rFonts w:eastAsia="Times New Roman"/>
          <w:i/>
          <w:sz w:val="15"/>
        </w:rPr>
        <w:t xml:space="preserve">Rosa </w:t>
      </w:r>
      <w:proofErr w:type="spellStart"/>
      <w:r>
        <w:rPr>
          <w:rFonts w:eastAsia="Times New Roman"/>
          <w:i/>
          <w:sz w:val="15"/>
        </w:rPr>
        <w:t>damascena</w:t>
      </w:r>
      <w:proofErr w:type="spellEnd"/>
      <w:r>
        <w:rPr>
          <w:rFonts w:eastAsia="Times New Roman"/>
          <w:sz w:val="15"/>
        </w:rPr>
        <w:t xml:space="preserve"> Mill. Environ Ecol. 2025;43(1A):239–244. doi:10.60151/</w:t>
      </w:r>
      <w:proofErr w:type="spellStart"/>
      <w:r>
        <w:rPr>
          <w:rFonts w:eastAsia="Times New Roman"/>
          <w:sz w:val="15"/>
        </w:rPr>
        <w:t>envec</w:t>
      </w:r>
      <w:proofErr w:type="spellEnd"/>
      <w:r>
        <w:rPr>
          <w:rFonts w:eastAsia="Times New Roman"/>
          <w:sz w:val="15"/>
        </w:rPr>
        <w:t>/YTZV4304.</w:t>
      </w:r>
    </w:p>
    <w:p w14:paraId="3B203E93" w14:textId="77777777" w:rsidR="00EE1030" w:rsidRDefault="00000000">
      <w:pPr>
        <w:spacing w:after="40" w:line="240" w:lineRule="auto"/>
        <w:ind w:left="238" w:hanging="238"/>
        <w:jc w:val="both"/>
      </w:pPr>
      <w:r>
        <w:rPr>
          <w:rFonts w:eastAsia="Times New Roman"/>
          <w:sz w:val="15"/>
        </w:rPr>
        <w:t xml:space="preserve">[18] </w:t>
      </w:r>
      <w:proofErr w:type="spellStart"/>
      <w:r>
        <w:rPr>
          <w:rFonts w:eastAsia="Times New Roman"/>
          <w:sz w:val="15"/>
        </w:rPr>
        <w:t>Raspor</w:t>
      </w:r>
      <w:proofErr w:type="spellEnd"/>
      <w:r>
        <w:rPr>
          <w:rFonts w:eastAsia="Times New Roman"/>
          <w:sz w:val="15"/>
        </w:rPr>
        <w:t xml:space="preserve"> M, Motyka V, </w:t>
      </w:r>
      <w:proofErr w:type="spellStart"/>
      <w:r>
        <w:rPr>
          <w:rFonts w:eastAsia="Times New Roman"/>
          <w:sz w:val="15"/>
        </w:rPr>
        <w:t>Kaleri</w:t>
      </w:r>
      <w:proofErr w:type="spellEnd"/>
      <w:r>
        <w:rPr>
          <w:rFonts w:eastAsia="Times New Roman"/>
          <w:sz w:val="15"/>
        </w:rPr>
        <w:t xml:space="preserve"> AR, </w:t>
      </w:r>
      <w:proofErr w:type="spellStart"/>
      <w:r>
        <w:rPr>
          <w:rFonts w:eastAsia="Times New Roman"/>
          <w:sz w:val="15"/>
        </w:rPr>
        <w:t>Ninković</w:t>
      </w:r>
      <w:proofErr w:type="spellEnd"/>
      <w:r>
        <w:rPr>
          <w:rFonts w:eastAsia="Times New Roman"/>
          <w:sz w:val="15"/>
        </w:rPr>
        <w:t xml:space="preserve"> S, </w:t>
      </w:r>
      <w:proofErr w:type="spellStart"/>
      <w:r>
        <w:rPr>
          <w:rFonts w:eastAsia="Times New Roman"/>
          <w:sz w:val="15"/>
        </w:rPr>
        <w:t>Tubić</w:t>
      </w:r>
      <w:proofErr w:type="spellEnd"/>
      <w:r>
        <w:rPr>
          <w:rFonts w:eastAsia="Times New Roman"/>
          <w:sz w:val="15"/>
        </w:rPr>
        <w:t xml:space="preserve"> L, Cingel A, Ćosić T. Integrating the roles for cytokinin and auxin in de novo shoot organogenesis: from hormone uptake to signaling outputs. Int J Mol Sci. 2021;22(16):8554. doi:10.3390/ijms22168554.</w:t>
      </w:r>
    </w:p>
    <w:p w14:paraId="5F0D6A9D" w14:textId="77777777" w:rsidR="00EE1030" w:rsidRDefault="00000000">
      <w:pPr>
        <w:spacing w:after="40" w:line="240" w:lineRule="auto"/>
        <w:ind w:left="238" w:hanging="238"/>
        <w:jc w:val="both"/>
      </w:pPr>
      <w:r>
        <w:rPr>
          <w:rFonts w:eastAsia="Times New Roman"/>
          <w:sz w:val="15"/>
        </w:rPr>
        <w:t xml:space="preserve">[19] </w:t>
      </w:r>
      <w:proofErr w:type="spellStart"/>
      <w:r>
        <w:rPr>
          <w:rFonts w:eastAsia="Times New Roman"/>
          <w:sz w:val="15"/>
        </w:rPr>
        <w:t>Šmeringai</w:t>
      </w:r>
      <w:proofErr w:type="spellEnd"/>
      <w:r>
        <w:rPr>
          <w:rFonts w:eastAsia="Times New Roman"/>
          <w:sz w:val="15"/>
        </w:rPr>
        <w:t xml:space="preserve"> J, </w:t>
      </w:r>
      <w:proofErr w:type="spellStart"/>
      <w:r>
        <w:rPr>
          <w:rFonts w:eastAsia="Times New Roman"/>
          <w:sz w:val="15"/>
        </w:rPr>
        <w:t>Schrumpfová</w:t>
      </w:r>
      <w:proofErr w:type="spellEnd"/>
      <w:r>
        <w:rPr>
          <w:rFonts w:eastAsia="Times New Roman"/>
          <w:sz w:val="15"/>
        </w:rPr>
        <w:t xml:space="preserve"> PP, </w:t>
      </w:r>
      <w:proofErr w:type="spellStart"/>
      <w:r>
        <w:rPr>
          <w:rFonts w:eastAsia="Times New Roman"/>
          <w:sz w:val="15"/>
        </w:rPr>
        <w:t>Pernisová</w:t>
      </w:r>
      <w:proofErr w:type="spellEnd"/>
      <w:r>
        <w:rPr>
          <w:rFonts w:eastAsia="Times New Roman"/>
          <w:sz w:val="15"/>
        </w:rPr>
        <w:t xml:space="preserve"> M. </w:t>
      </w:r>
      <w:proofErr w:type="spellStart"/>
      <w:r>
        <w:rPr>
          <w:rFonts w:eastAsia="Times New Roman"/>
          <w:sz w:val="15"/>
        </w:rPr>
        <w:t>Cytokinins</w:t>
      </w:r>
      <w:proofErr w:type="spellEnd"/>
      <w:r>
        <w:rPr>
          <w:rFonts w:eastAsia="Times New Roman"/>
          <w:sz w:val="15"/>
        </w:rPr>
        <w:t xml:space="preserve">—regulators of de novo shoot organogenesis. Front Plant Sci. </w:t>
      </w:r>
      <w:proofErr w:type="gramStart"/>
      <w:r>
        <w:rPr>
          <w:rFonts w:eastAsia="Times New Roman"/>
          <w:sz w:val="15"/>
        </w:rPr>
        <w:t>2023;14:1239133</w:t>
      </w:r>
      <w:proofErr w:type="gramEnd"/>
      <w:r>
        <w:rPr>
          <w:rFonts w:eastAsia="Times New Roman"/>
          <w:sz w:val="15"/>
        </w:rPr>
        <w:t>. doi:10.3389/fpls.2023.1239133.</w:t>
      </w:r>
    </w:p>
    <w:p w14:paraId="20BFE161" w14:textId="77777777" w:rsidR="00EE1030" w:rsidRDefault="00000000">
      <w:pPr>
        <w:spacing w:after="40" w:line="240" w:lineRule="auto"/>
        <w:ind w:left="238" w:hanging="238"/>
        <w:jc w:val="both"/>
      </w:pPr>
      <w:r>
        <w:rPr>
          <w:rFonts w:eastAsia="Times New Roman"/>
          <w:sz w:val="15"/>
        </w:rPr>
        <w:t>[20] Yan M, Zhang L, Ren Y, Zhang T, Zhang S, Li H, Chen Y, Zhang S. The higher water absorption capacity of small root system improved the yield and water use efficiency of maize. Plants (Basel). 2022;11(17):2300. doi:10.3390/plants11172300.</w:t>
      </w:r>
    </w:p>
    <w:p w14:paraId="7C35FFA1" w14:textId="77777777" w:rsidR="00EE1030" w:rsidRDefault="00000000">
      <w:pPr>
        <w:spacing w:after="40" w:line="240" w:lineRule="auto"/>
        <w:ind w:left="238" w:hanging="238"/>
        <w:jc w:val="both"/>
      </w:pPr>
      <w:r>
        <w:rPr>
          <w:rFonts w:eastAsia="Times New Roman"/>
          <w:sz w:val="15"/>
        </w:rPr>
        <w:t xml:space="preserve">[21] Holz M, </w:t>
      </w:r>
      <w:proofErr w:type="spellStart"/>
      <w:r>
        <w:rPr>
          <w:rFonts w:eastAsia="Times New Roman"/>
          <w:sz w:val="15"/>
        </w:rPr>
        <w:t>Zarebanadkouki</w:t>
      </w:r>
      <w:proofErr w:type="spellEnd"/>
      <w:r>
        <w:rPr>
          <w:rFonts w:eastAsia="Times New Roman"/>
          <w:sz w:val="15"/>
        </w:rPr>
        <w:t xml:space="preserve"> M, Benard P, Hoffmann M, Dubbert M. Root and rhizosphere traits for enhanced water and nutrients uptake efficiency in dynamic environments. Front Plant Sci. </w:t>
      </w:r>
      <w:proofErr w:type="gramStart"/>
      <w:r>
        <w:rPr>
          <w:rFonts w:eastAsia="Times New Roman"/>
          <w:sz w:val="15"/>
        </w:rPr>
        <w:t>2024;15:1383373</w:t>
      </w:r>
      <w:proofErr w:type="gramEnd"/>
      <w:r>
        <w:rPr>
          <w:rFonts w:eastAsia="Times New Roman"/>
          <w:sz w:val="15"/>
        </w:rPr>
        <w:t>. doi:10.3389/fpls.2024.1383373.</w:t>
      </w:r>
    </w:p>
    <w:p w14:paraId="3E9CC8F0" w14:textId="77777777" w:rsidR="00EE1030" w:rsidRDefault="00000000">
      <w:pPr>
        <w:spacing w:after="40" w:line="240" w:lineRule="auto"/>
        <w:ind w:left="238" w:hanging="238"/>
        <w:jc w:val="both"/>
      </w:pPr>
      <w:r>
        <w:rPr>
          <w:rFonts w:eastAsia="Times New Roman"/>
          <w:sz w:val="15"/>
        </w:rPr>
        <w:t>[22] Lynch JP. Root architecture and plant productivity. Plant Physiol. 1995;109(1):7-13. doi:10.1104/pp.109.1.7.</w:t>
      </w:r>
    </w:p>
    <w:p w14:paraId="1FD565FF" w14:textId="77777777" w:rsidR="00EE1030" w:rsidRDefault="00000000">
      <w:pPr>
        <w:spacing w:after="40" w:line="240" w:lineRule="auto"/>
        <w:ind w:left="238" w:hanging="238"/>
        <w:jc w:val="both"/>
      </w:pPr>
      <w:r>
        <w:rPr>
          <w:rFonts w:eastAsia="Times New Roman"/>
          <w:sz w:val="15"/>
        </w:rPr>
        <w:t xml:space="preserve">[23] </w:t>
      </w:r>
      <w:proofErr w:type="spellStart"/>
      <w:r>
        <w:rPr>
          <w:rFonts w:eastAsia="Times New Roman"/>
          <w:sz w:val="15"/>
        </w:rPr>
        <w:t>Koevoets</w:t>
      </w:r>
      <w:proofErr w:type="spellEnd"/>
      <w:r>
        <w:rPr>
          <w:rFonts w:eastAsia="Times New Roman"/>
          <w:sz w:val="15"/>
        </w:rPr>
        <w:t xml:space="preserve"> IT, Venema JH, </w:t>
      </w:r>
      <w:proofErr w:type="spellStart"/>
      <w:r>
        <w:rPr>
          <w:rFonts w:eastAsia="Times New Roman"/>
          <w:sz w:val="15"/>
        </w:rPr>
        <w:t>Elzenga</w:t>
      </w:r>
      <w:proofErr w:type="spellEnd"/>
      <w:r>
        <w:rPr>
          <w:rFonts w:eastAsia="Times New Roman"/>
          <w:sz w:val="15"/>
        </w:rPr>
        <w:t xml:space="preserve"> JTM, </w:t>
      </w:r>
      <w:proofErr w:type="spellStart"/>
      <w:r>
        <w:rPr>
          <w:rFonts w:eastAsia="Times New Roman"/>
          <w:sz w:val="15"/>
        </w:rPr>
        <w:t>Testerink</w:t>
      </w:r>
      <w:proofErr w:type="spellEnd"/>
      <w:r>
        <w:rPr>
          <w:rFonts w:eastAsia="Times New Roman"/>
          <w:sz w:val="15"/>
        </w:rPr>
        <w:t xml:space="preserve"> C. Roots withstanding their environment: exploiting root system architecture responses to abiotic stress to improve crop tolerance. Front Plant Sci. </w:t>
      </w:r>
      <w:proofErr w:type="gramStart"/>
      <w:r>
        <w:rPr>
          <w:rFonts w:eastAsia="Times New Roman"/>
          <w:sz w:val="15"/>
        </w:rPr>
        <w:t>2016;7:1335</w:t>
      </w:r>
      <w:proofErr w:type="gramEnd"/>
      <w:r>
        <w:rPr>
          <w:rFonts w:eastAsia="Times New Roman"/>
          <w:sz w:val="15"/>
        </w:rPr>
        <w:t>. doi:10.3389/fpls.2016.01335.</w:t>
      </w:r>
    </w:p>
    <w:p w14:paraId="58B6B410" w14:textId="77777777" w:rsidR="00EE1030" w:rsidRDefault="00000000">
      <w:pPr>
        <w:spacing w:after="40" w:line="240" w:lineRule="auto"/>
        <w:ind w:left="238" w:hanging="238"/>
        <w:jc w:val="both"/>
      </w:pPr>
      <w:r>
        <w:rPr>
          <w:rFonts w:eastAsia="Times New Roman"/>
          <w:sz w:val="15"/>
        </w:rPr>
        <w:t>[24] Lynch JP. Rightsizing root phenotypes for drought resistance. J Exp Bot. 2018;69(13):3279-3292. doi:10.1093/</w:t>
      </w:r>
      <w:proofErr w:type="spellStart"/>
      <w:r>
        <w:rPr>
          <w:rFonts w:eastAsia="Times New Roman"/>
          <w:sz w:val="15"/>
        </w:rPr>
        <w:t>jxb</w:t>
      </w:r>
      <w:proofErr w:type="spellEnd"/>
      <w:r>
        <w:rPr>
          <w:rFonts w:eastAsia="Times New Roman"/>
          <w:sz w:val="15"/>
        </w:rPr>
        <w:t>/ery048.</w:t>
      </w:r>
    </w:p>
    <w:p w14:paraId="7426AE23" w14:textId="77777777" w:rsidR="00EE1030" w:rsidRDefault="00000000">
      <w:pPr>
        <w:spacing w:after="40" w:line="240" w:lineRule="auto"/>
        <w:ind w:left="238" w:hanging="238"/>
        <w:jc w:val="both"/>
      </w:pPr>
      <w:r>
        <w:rPr>
          <w:rFonts w:eastAsia="Times New Roman"/>
          <w:sz w:val="15"/>
        </w:rPr>
        <w:t xml:space="preserve">[25] Yasmin S, Hasan J, Hossain S, Saha S, Khatun F. Auxin and cytokinin synergism in micropropagation for mass production of </w:t>
      </w:r>
      <w:r>
        <w:rPr>
          <w:rFonts w:eastAsia="Times New Roman"/>
          <w:i/>
          <w:sz w:val="15"/>
        </w:rPr>
        <w:t>Aloe vera</w:t>
      </w:r>
      <w:r>
        <w:rPr>
          <w:rFonts w:eastAsia="Times New Roman"/>
          <w:sz w:val="15"/>
        </w:rPr>
        <w:t xml:space="preserve">. </w:t>
      </w:r>
      <w:proofErr w:type="spellStart"/>
      <w:r>
        <w:rPr>
          <w:rFonts w:eastAsia="Times New Roman"/>
          <w:sz w:val="15"/>
        </w:rPr>
        <w:t>Biotechnologia</w:t>
      </w:r>
      <w:proofErr w:type="spellEnd"/>
      <w:r>
        <w:rPr>
          <w:rFonts w:eastAsia="Times New Roman"/>
          <w:sz w:val="15"/>
        </w:rPr>
        <w:t>. 2022;103(3):301-310. doi:10.5114/bta.2022.118672.</w:t>
      </w:r>
    </w:p>
    <w:sectPr w:rsidR="00EE1030" w:rsidSect="00034616">
      <w:type w:val="continuous"/>
      <w:pgSz w:w="11906" w:h="16838"/>
      <w:pgMar w:top="879" w:right="822" w:bottom="879" w:left="822" w:header="397" w:footer="397" w:gutter="0"/>
      <w:cols w:num="2"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86AD5" w14:textId="77777777" w:rsidR="008C5445" w:rsidRDefault="008C5445">
      <w:pPr>
        <w:spacing w:line="240" w:lineRule="auto"/>
      </w:pPr>
      <w:r>
        <w:separator/>
      </w:r>
    </w:p>
  </w:endnote>
  <w:endnote w:type="continuationSeparator" w:id="0">
    <w:p w14:paraId="741A38E2" w14:textId="77777777" w:rsidR="008C5445" w:rsidRDefault="008C54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7008497"/>
      <w:docPartObj>
        <w:docPartGallery w:val="Page Numbers (Bottom of Page)"/>
        <w:docPartUnique/>
      </w:docPartObj>
    </w:sdtPr>
    <w:sdtEndPr>
      <w:rPr>
        <w:noProof/>
      </w:rPr>
    </w:sdtEndPr>
    <w:sdtContent>
      <w:p w14:paraId="65B636E3" w14:textId="7B0CB201" w:rsidR="00BE16A8" w:rsidRDefault="00BE16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6D7546" w14:textId="77777777" w:rsidR="00BE16A8" w:rsidRDefault="00BE16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90AD7" w14:textId="77777777" w:rsidR="008C5445" w:rsidRDefault="008C5445">
      <w:pPr>
        <w:spacing w:line="240" w:lineRule="auto"/>
      </w:pPr>
      <w:r>
        <w:separator/>
      </w:r>
    </w:p>
  </w:footnote>
  <w:footnote w:type="continuationSeparator" w:id="0">
    <w:p w14:paraId="1BCBB3DE" w14:textId="77777777" w:rsidR="008C5445" w:rsidRDefault="008C544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18131959">
    <w:abstractNumId w:val="8"/>
  </w:num>
  <w:num w:numId="2" w16cid:durableId="1894390841">
    <w:abstractNumId w:val="6"/>
  </w:num>
  <w:num w:numId="3" w16cid:durableId="1417285531">
    <w:abstractNumId w:val="5"/>
  </w:num>
  <w:num w:numId="4" w16cid:durableId="1333995941">
    <w:abstractNumId w:val="4"/>
  </w:num>
  <w:num w:numId="5" w16cid:durableId="1064454941">
    <w:abstractNumId w:val="7"/>
  </w:num>
  <w:num w:numId="6" w16cid:durableId="84229015">
    <w:abstractNumId w:val="3"/>
  </w:num>
  <w:num w:numId="7" w16cid:durableId="241449407">
    <w:abstractNumId w:val="2"/>
  </w:num>
  <w:num w:numId="8" w16cid:durableId="1382289605">
    <w:abstractNumId w:val="1"/>
  </w:num>
  <w:num w:numId="9" w16cid:durableId="1195457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53981"/>
    <w:rsid w:val="0029639D"/>
    <w:rsid w:val="002F1AEA"/>
    <w:rsid w:val="00326F90"/>
    <w:rsid w:val="00364DC9"/>
    <w:rsid w:val="003D6087"/>
    <w:rsid w:val="00434AB7"/>
    <w:rsid w:val="004503DC"/>
    <w:rsid w:val="0045282A"/>
    <w:rsid w:val="00564FC1"/>
    <w:rsid w:val="006C2190"/>
    <w:rsid w:val="007868DC"/>
    <w:rsid w:val="007C4A05"/>
    <w:rsid w:val="008115AD"/>
    <w:rsid w:val="00815A8B"/>
    <w:rsid w:val="00817A1B"/>
    <w:rsid w:val="00897B4C"/>
    <w:rsid w:val="008C5445"/>
    <w:rsid w:val="008D1A01"/>
    <w:rsid w:val="00A02D38"/>
    <w:rsid w:val="00A2594E"/>
    <w:rsid w:val="00A845E3"/>
    <w:rsid w:val="00A87460"/>
    <w:rsid w:val="00AA1D8D"/>
    <w:rsid w:val="00B47730"/>
    <w:rsid w:val="00BE16A8"/>
    <w:rsid w:val="00BF65A2"/>
    <w:rsid w:val="00C226BE"/>
    <w:rsid w:val="00C2655F"/>
    <w:rsid w:val="00C875EB"/>
    <w:rsid w:val="00CB0664"/>
    <w:rsid w:val="00D033A3"/>
    <w:rsid w:val="00D170BF"/>
    <w:rsid w:val="00D96EE1"/>
    <w:rsid w:val="00DC42C2"/>
    <w:rsid w:val="00E50743"/>
    <w:rsid w:val="00EE1030"/>
    <w:rsid w:val="00FC693F"/>
    <w:rsid w:val="00FE2553"/>
    <w:rsid w:val="00FF38DF"/>
    <w:rsid w:val="00FF50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4C89E2"/>
  <w14:defaultImageDpi w14:val="300"/>
  <w15:docId w15:val="{3626B66E-C40F-43F0-9A85-AEA6E4CF4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hAnsi="Times New Roman"/>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PENTitle">
    <w:name w:val="JPEN Title"/>
    <w:pPr>
      <w:spacing w:after="0"/>
    </w:pPr>
    <w:rPr>
      <w:rFonts w:ascii="Book Antiqua" w:hAnsi="Book Antiqua"/>
      <w:b/>
      <w:sz w:val="32"/>
    </w:rPr>
  </w:style>
  <w:style w:type="paragraph" w:customStyle="1" w:styleId="JPENAuthors">
    <w:name w:val="JPEN Authors"/>
    <w:pPr>
      <w:spacing w:after="0"/>
    </w:pPr>
    <w:rPr>
      <w:rFonts w:ascii="Book Antiqua" w:hAnsi="Book Antiqua"/>
      <w:b/>
      <w:sz w:val="21"/>
    </w:rPr>
  </w:style>
  <w:style w:type="paragraph" w:customStyle="1" w:styleId="JPENAffiliation">
    <w:name w:val="JPEN Affiliation"/>
    <w:pPr>
      <w:spacing w:after="0"/>
    </w:pPr>
    <w:rPr>
      <w:rFonts w:ascii="Book Antiqua" w:hAnsi="Book Antiqua"/>
      <w:i/>
      <w:sz w:val="17"/>
    </w:rPr>
  </w:style>
  <w:style w:type="paragraph" w:customStyle="1" w:styleId="JPENHeading1">
    <w:name w:val="JPEN Heading 1"/>
    <w:pPr>
      <w:spacing w:after="0"/>
    </w:pPr>
    <w:rPr>
      <w:rFonts w:ascii="Book Antiqua" w:hAnsi="Book Antiqua"/>
      <w:b/>
      <w:sz w:val="21"/>
    </w:rPr>
  </w:style>
  <w:style w:type="paragraph" w:customStyle="1" w:styleId="JPENHeading2">
    <w:name w:val="JPEN Heading 2"/>
    <w:pPr>
      <w:spacing w:after="0"/>
    </w:pPr>
    <w:rPr>
      <w:rFonts w:ascii="Book Antiqua" w:hAnsi="Book Antiqua"/>
      <w:b/>
      <w:sz w:val="20"/>
    </w:rPr>
  </w:style>
  <w:style w:type="paragraph" w:customStyle="1" w:styleId="JPENHeading3">
    <w:name w:val="JPEN Heading 3"/>
    <w:pPr>
      <w:spacing w:after="0"/>
    </w:pPr>
    <w:rPr>
      <w:rFonts w:ascii="Book Antiqua" w:hAnsi="Book Antiqua"/>
      <w:i/>
      <w:sz w:val="20"/>
    </w:rPr>
  </w:style>
  <w:style w:type="paragraph" w:customStyle="1" w:styleId="JPENCaption">
    <w:name w:val="JPEN Caption"/>
    <w:pPr>
      <w:spacing w:after="0"/>
    </w:pPr>
    <w:rPr>
      <w:rFonts w:ascii="Book Antiqua" w:hAnsi="Book Antiqua"/>
      <w:sz w:val="17"/>
    </w:rPr>
  </w:style>
  <w:style w:type="paragraph" w:customStyle="1" w:styleId="JPENSmall">
    <w:name w:val="JPEN Small"/>
    <w:pPr>
      <w:spacing w:after="0"/>
    </w:pPr>
    <w:rPr>
      <w:rFonts w:ascii="Book Antiqua" w:hAnsi="Book Antiqua"/>
      <w:sz w:val="16"/>
    </w:rPr>
  </w:style>
  <w:style w:type="paragraph" w:customStyle="1" w:styleId="JPENRef">
    <w:name w:val="JPEN Ref"/>
    <w:pPr>
      <w:spacing w:after="0"/>
    </w:pPr>
    <w:rPr>
      <w:rFonts w:ascii="Book Antiqua" w:hAnsi="Book Antiqua"/>
      <w:sz w:val="17"/>
    </w:rPr>
  </w:style>
  <w:style w:type="character" w:styleId="Hyperlink">
    <w:name w:val="Hyperlink"/>
    <w:basedOn w:val="DefaultParagraphFont"/>
    <w:uiPriority w:val="99"/>
    <w:unhideWhenUsed/>
    <w:rsid w:val="00D033A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73C74-2649-4323-9BAB-39D5DA286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3310</Words>
  <Characters>18868</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22134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J-PEN Borneo Article Template</dc:title>
  <dc:subject>English article template with author instructions</dc:subject>
  <dc:creator>J-PEN Borneo Template</dc:creator>
  <cp:keywords>J-PEN Borneo, article template, manuscript template</cp:keywords>
  <dc:description>generated by python-docx</dc:description>
  <cp:lastModifiedBy>USER</cp:lastModifiedBy>
  <cp:revision>5</cp:revision>
  <dcterms:created xsi:type="dcterms:W3CDTF">2026-06-29T07:22:00Z</dcterms:created>
  <dcterms:modified xsi:type="dcterms:W3CDTF">2026-06-29T09:11:00Z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ebcf2fd5-7175-47a8-9ffa-d694ce60b54b</vt:lpwstr>
  </property>
</Properties>
</file>